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bookmarkStart w:id="1" w:name="_Toc300911850"/>
      <w:r w:rsidRPr="00A3762E">
        <w:rPr>
          <w:rFonts w:ascii="Arial" w:eastAsia="Times New Roman" w:hAnsi="Arial" w:cs="Arial"/>
          <w:b/>
          <w:sz w:val="24"/>
          <w:szCs w:val="20"/>
        </w:rPr>
        <w:t xml:space="preserve">APPENDIX </w:t>
      </w:r>
      <w:r>
        <w:rPr>
          <w:rFonts w:ascii="Arial" w:eastAsia="Times New Roman" w:hAnsi="Arial" w:cs="Arial"/>
          <w:b/>
          <w:sz w:val="24"/>
          <w:szCs w:val="20"/>
        </w:rPr>
        <w:t>J</w:t>
      </w:r>
      <w:bookmarkEnd w:id="1"/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  <w:bookmarkStart w:id="2" w:name="_Toc300911851"/>
      <w:r w:rsidRPr="00A3762E">
        <w:rPr>
          <w:rFonts w:ascii="Arial" w:eastAsia="Times New Roman" w:hAnsi="Arial" w:cs="Arial"/>
          <w:b/>
          <w:sz w:val="24"/>
          <w:szCs w:val="20"/>
        </w:rPr>
        <w:t>FLUCTUATIONS</w:t>
      </w:r>
      <w:bookmarkEnd w:id="2"/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b/>
          <w:sz w:val="24"/>
          <w:szCs w:val="20"/>
        </w:rPr>
        <w:sectPr w:rsidR="006E2C0F" w:rsidRPr="00A3762E" w:rsidSect="000725C7">
          <w:footerReference w:type="default" r:id="rId7"/>
          <w:pgSz w:w="11909" w:h="16834" w:code="9"/>
          <w:pgMar w:top="759" w:right="1138" w:bottom="1440" w:left="850" w:header="540" w:footer="576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1"/>
          <w:cols w:space="720"/>
          <w:noEndnote/>
        </w:sect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center"/>
        <w:outlineLvl w:val="0"/>
        <w:rPr>
          <w:rFonts w:ascii="Arial" w:eastAsia="Times New Roman" w:hAnsi="Arial" w:cs="Arial"/>
          <w:sz w:val="24"/>
          <w:szCs w:val="20"/>
        </w:rPr>
      </w:pPr>
      <w:bookmarkStart w:id="3" w:name="_Toc300911852"/>
      <w:r w:rsidRPr="00A3762E">
        <w:rPr>
          <w:rFonts w:ascii="Arial" w:eastAsia="Times New Roman" w:hAnsi="Arial" w:cs="Arial"/>
          <w:b/>
          <w:sz w:val="24"/>
          <w:szCs w:val="20"/>
          <w:u w:val="single"/>
        </w:rPr>
        <w:t>FLUCTUATIONS</w:t>
      </w:r>
      <w:bookmarkEnd w:id="3"/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sz w:val="16"/>
          <w:szCs w:val="16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sz w:val="24"/>
          <w:szCs w:val="20"/>
        </w:rPr>
      </w:pPr>
      <w:bookmarkStart w:id="4" w:name="_Toc300911853"/>
      <w:r w:rsidRPr="00A3762E">
        <w:rPr>
          <w:rFonts w:ascii="Arial" w:eastAsia="Times New Roman" w:hAnsi="Arial" w:cs="Arial"/>
          <w:sz w:val="24"/>
          <w:szCs w:val="20"/>
        </w:rPr>
        <w:t xml:space="preserve">With </w:t>
      </w:r>
      <w:r w:rsidRPr="00B94595">
        <w:rPr>
          <w:rFonts w:ascii="Arial" w:eastAsia="Times New Roman" w:hAnsi="Arial" w:cs="Arial"/>
          <w:sz w:val="24"/>
          <w:szCs w:val="20"/>
        </w:rPr>
        <w:t xml:space="preserve">reference to </w:t>
      </w:r>
      <w:r w:rsidRPr="001E7040">
        <w:rPr>
          <w:rFonts w:ascii="Arial" w:eastAsia="Times New Roman" w:hAnsi="Arial" w:cs="Arial"/>
          <w:sz w:val="24"/>
          <w:szCs w:val="20"/>
        </w:rPr>
        <w:t>Clause 5.6.1</w:t>
      </w:r>
      <w:r w:rsidRPr="00A3762E">
        <w:rPr>
          <w:rFonts w:ascii="Arial" w:eastAsia="Times New Roman" w:hAnsi="Arial" w:cs="Arial"/>
          <w:sz w:val="24"/>
          <w:szCs w:val="20"/>
        </w:rPr>
        <w:t xml:space="preserve"> the following fluctuations will be applied to the rates.</w:t>
      </w:r>
      <w:bookmarkEnd w:id="4"/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sz w:val="24"/>
          <w:szCs w:val="20"/>
        </w:rPr>
      </w:pPr>
    </w:p>
    <w:p w:rsidR="006E2C0F" w:rsidRPr="00A3762E" w:rsidRDefault="006E2C0F" w:rsidP="006E2C0F">
      <w:pPr>
        <w:ind w:left="142" w:right="1558"/>
        <w:jc w:val="left"/>
        <w:rPr>
          <w:rFonts w:ascii="Univers (W1)" w:eastAsia="Times New Roman" w:hAnsi="Univers (W1)" w:cs="Times New Roman"/>
          <w:b/>
          <w:sz w:val="24"/>
          <w:szCs w:val="20"/>
          <w:lang w:val="en"/>
        </w:rPr>
      </w:pPr>
      <w:r w:rsidRPr="00A3762E">
        <w:rPr>
          <w:rFonts w:ascii="Univers (W1)" w:eastAsia="Times New Roman" w:hAnsi="Univers (W1)" w:cs="Times New Roman"/>
          <w:b/>
          <w:sz w:val="24"/>
          <w:szCs w:val="20"/>
          <w:lang w:val="en"/>
        </w:rPr>
        <w:t>RPIX which is RPI all items excluding mortgage interest payments as published by Office for National Statistics, shall be used to calculate fluctuations in accordance with the formulas below.</w:t>
      </w: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Univers (W1)" w:eastAsia="Times New Roman" w:hAnsi="Univers (W1)" w:cs="Times New Roman"/>
          <w:b/>
          <w:sz w:val="24"/>
          <w:szCs w:val="20"/>
          <w:lang w:val="en"/>
        </w:rPr>
      </w:pPr>
    </w:p>
    <w:p w:rsidR="006E2C0F" w:rsidRPr="00A3762E" w:rsidRDefault="006E2C0F" w:rsidP="006E2C0F">
      <w:pPr>
        <w:tabs>
          <w:tab w:val="left" w:pos="284"/>
          <w:tab w:val="left" w:pos="680"/>
        </w:tabs>
        <w:ind w:left="677" w:hanging="677"/>
        <w:jc w:val="left"/>
        <w:outlineLvl w:val="0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6"/>
        <w:gridCol w:w="295"/>
        <w:gridCol w:w="5957"/>
        <w:gridCol w:w="2130"/>
      </w:tblGrid>
      <w:tr w:rsidR="006E2C0F" w:rsidRPr="00A3762E" w:rsidTr="00763A76">
        <w:tc>
          <w:tcPr>
            <w:tcW w:w="558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5" w:name="_Toc300911854"/>
            <w:proofErr w:type="spellStart"/>
            <w:r w:rsidRPr="00A3762E">
              <w:rPr>
                <w:rFonts w:ascii="Arial" w:eastAsia="Times New Roman" w:hAnsi="Arial" w:cs="Arial"/>
              </w:rPr>
              <w:t>i</w:t>
            </w:r>
            <w:proofErr w:type="spellEnd"/>
            <w:r w:rsidRPr="00A3762E">
              <w:rPr>
                <w:rFonts w:ascii="Arial" w:eastAsia="Times New Roman" w:hAnsi="Arial" w:cs="Arial"/>
              </w:rPr>
              <w:t>)</w:t>
            </w:r>
            <w:bookmarkEnd w:id="5"/>
          </w:p>
        </w:tc>
        <w:tc>
          <w:tcPr>
            <w:tcW w:w="9255" w:type="dxa"/>
            <w:gridSpan w:val="3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6" w:name="_Toc300911855"/>
            <w:r w:rsidRPr="00A3762E">
              <w:rPr>
                <w:rFonts w:ascii="Arial" w:eastAsia="Times New Roman" w:hAnsi="Arial" w:cs="Arial"/>
              </w:rPr>
              <w:t>Work undertaken during the first 12 months (Year 1) of the Contract – Nil adjustment.</w:t>
            </w:r>
            <w:bookmarkEnd w:id="6"/>
          </w:p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7" w:name="_Toc300911856"/>
            <w:r w:rsidRPr="00A3762E">
              <w:rPr>
                <w:rFonts w:ascii="Arial" w:eastAsia="Times New Roman" w:hAnsi="Arial" w:cs="Arial"/>
              </w:rPr>
              <w:t>ii)</w:t>
            </w:r>
            <w:bookmarkEnd w:id="7"/>
          </w:p>
        </w:tc>
        <w:tc>
          <w:tcPr>
            <w:tcW w:w="9464" w:type="dxa"/>
            <w:gridSpan w:val="3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8" w:name="_Toc300911857"/>
            <w:r w:rsidRPr="00A3762E">
              <w:rPr>
                <w:rFonts w:ascii="Arial" w:eastAsia="Times New Roman" w:hAnsi="Arial" w:cs="Arial"/>
              </w:rPr>
              <w:t>Work undertaken during the second 12 months (Year 2) of the Contract</w:t>
            </w:r>
            <w:bookmarkEnd w:id="8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9" w:name="_Toc300911858"/>
            <w:r w:rsidRPr="00A3762E">
              <w:rPr>
                <w:rFonts w:ascii="Arial" w:eastAsia="Times New Roman" w:hAnsi="Arial" w:cs="Arial"/>
              </w:rPr>
              <w:t>-</w:t>
            </w:r>
            <w:bookmarkEnd w:id="9"/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0" w:name="_Toc300911859"/>
            <w:r w:rsidRPr="00A3762E">
              <w:rPr>
                <w:rFonts w:ascii="Arial" w:eastAsia="Times New Roman" w:hAnsi="Arial" w:cs="Arial"/>
              </w:rPr>
              <w:t xml:space="preserve">RPIX (Month 12) </w:t>
            </w:r>
            <w:bookmarkEnd w:id="10"/>
            <w:r w:rsidRPr="00A3762E">
              <w:rPr>
                <w:rFonts w:ascii="Arial" w:eastAsia="Times New Roman" w:hAnsi="Arial" w:cs="Arial"/>
              </w:rPr>
              <w:t xml:space="preserve"> (A)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1" w:name="_Toc300911860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11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2" w:name="_Toc300911861"/>
            <w:r w:rsidRPr="00A3762E">
              <w:rPr>
                <w:rFonts w:ascii="Arial" w:eastAsia="Times New Roman" w:hAnsi="Arial" w:cs="Arial"/>
              </w:rPr>
              <w:t>-</w:t>
            </w:r>
            <w:bookmarkEnd w:id="12"/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3" w:name="_Toc300911862"/>
            <w:r w:rsidRPr="00A3762E">
              <w:rPr>
                <w:rFonts w:ascii="Arial" w:eastAsia="Times New Roman" w:hAnsi="Arial" w:cs="Arial"/>
              </w:rPr>
              <w:t>less RPIX (Month 0)</w:t>
            </w:r>
            <w:bookmarkEnd w:id="13"/>
            <w:r w:rsidRPr="00A3762E">
              <w:rPr>
                <w:rFonts w:ascii="Arial" w:eastAsia="Times New Roman" w:hAnsi="Arial" w:cs="Arial"/>
              </w:rPr>
              <w:t xml:space="preserve"> (B)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4" w:name="_Toc300911863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14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5" w:name="_Toc300911864"/>
            <w:r w:rsidRPr="00A3762E">
              <w:rPr>
                <w:rFonts w:ascii="Arial" w:eastAsia="Times New Roman" w:hAnsi="Arial" w:cs="Arial"/>
              </w:rPr>
              <w:t>Difference</w:t>
            </w:r>
            <w:bookmarkEnd w:id="15"/>
            <w:r w:rsidRPr="00A3762E">
              <w:rPr>
                <w:rFonts w:ascii="Arial" w:eastAsia="Times New Roman" w:hAnsi="Arial" w:cs="Arial"/>
              </w:rPr>
              <w:t xml:space="preserve"> (A-B) =  (C)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6" w:name="_Toc300911865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16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7" w:name="_Toc300911866"/>
            <w:r w:rsidRPr="00A3762E">
              <w:rPr>
                <w:rFonts w:ascii="Arial" w:eastAsia="Times New Roman" w:hAnsi="Arial" w:cs="Arial"/>
                <w:u w:val="single"/>
              </w:rPr>
              <w:t xml:space="preserve">Difference </w:t>
            </w:r>
            <w:r w:rsidRPr="00A3762E">
              <w:rPr>
                <w:rFonts w:ascii="Arial" w:eastAsia="Times New Roman" w:hAnsi="Arial" w:cs="Arial"/>
              </w:rPr>
              <w:t>(C)</w:t>
            </w:r>
            <w:r w:rsidRPr="00A3762E">
              <w:rPr>
                <w:rFonts w:ascii="Arial" w:eastAsia="Times New Roman" w:hAnsi="Arial" w:cs="Arial"/>
                <w:u w:val="single"/>
              </w:rPr>
              <w:t>_____                  x0.9</w:t>
            </w:r>
            <w:r w:rsidRPr="00A3762E">
              <w:rPr>
                <w:rFonts w:ascii="Arial" w:eastAsia="Times New Roman" w:hAnsi="Arial" w:cs="Arial"/>
              </w:rPr>
              <w:t xml:space="preserve"> = _____________(D) as </w:t>
            </w:r>
            <w:bookmarkEnd w:id="17"/>
            <w:r w:rsidRPr="00A3762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8" w:name="_Toc300911867"/>
            <w:r w:rsidRPr="00A3762E">
              <w:rPr>
                <w:rFonts w:ascii="Arial" w:eastAsia="Times New Roman" w:hAnsi="Arial" w:cs="Arial"/>
              </w:rPr>
              <w:t>_____________%</w:t>
            </w:r>
            <w:bookmarkEnd w:id="18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 xml:space="preserve">                     RPIX(Month 0) (B)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19" w:name="_Toc300911869"/>
            <w:r w:rsidRPr="00A3762E">
              <w:rPr>
                <w:rFonts w:ascii="Arial" w:eastAsia="Times New Roman" w:hAnsi="Arial" w:cs="Arial"/>
              </w:rPr>
              <w:t>iii)</w:t>
            </w:r>
            <w:bookmarkEnd w:id="19"/>
          </w:p>
        </w:tc>
        <w:tc>
          <w:tcPr>
            <w:tcW w:w="9464" w:type="dxa"/>
            <w:gridSpan w:val="3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>Work undertaken during the third 12 months (Year 3) of the Contract</w:t>
            </w: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0" w:name="_Toc300911871"/>
            <w:r w:rsidRPr="00A3762E">
              <w:rPr>
                <w:rFonts w:ascii="Arial" w:eastAsia="Times New Roman" w:hAnsi="Arial" w:cs="Arial"/>
              </w:rPr>
              <w:t>-</w:t>
            </w:r>
            <w:bookmarkEnd w:id="20"/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>RPIX (Month 24) (A)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1" w:name="_Toc300911873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21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2" w:name="_Toc300911874"/>
            <w:r w:rsidRPr="00A3762E">
              <w:rPr>
                <w:rFonts w:ascii="Arial" w:eastAsia="Times New Roman" w:hAnsi="Arial" w:cs="Arial"/>
              </w:rPr>
              <w:t>-</w:t>
            </w:r>
            <w:bookmarkEnd w:id="22"/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>less RPIX (Month 12) (B)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3" w:name="_Toc300911876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23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>Difference (A-B) = (C)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4" w:name="_Toc300911878"/>
            <w:r w:rsidRPr="00A3762E">
              <w:rPr>
                <w:rFonts w:ascii="Arial" w:eastAsia="Times New Roman" w:hAnsi="Arial" w:cs="Arial"/>
              </w:rPr>
              <w:t>______________</w:t>
            </w:r>
            <w:bookmarkEnd w:id="24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  <w:u w:val="single"/>
              </w:rPr>
              <w:t xml:space="preserve">Difference </w:t>
            </w:r>
            <w:r w:rsidRPr="00A3762E">
              <w:rPr>
                <w:rFonts w:ascii="Arial" w:eastAsia="Times New Roman" w:hAnsi="Arial" w:cs="Arial"/>
              </w:rPr>
              <w:t>(C)</w:t>
            </w:r>
            <w:r w:rsidRPr="00A3762E">
              <w:rPr>
                <w:rFonts w:ascii="Arial" w:eastAsia="Times New Roman" w:hAnsi="Arial" w:cs="Arial"/>
                <w:u w:val="single"/>
              </w:rPr>
              <w:t>_____                  x0.9</w:t>
            </w:r>
            <w:r w:rsidRPr="00A3762E">
              <w:rPr>
                <w:rFonts w:ascii="Arial" w:eastAsia="Times New Roman" w:hAnsi="Arial" w:cs="Arial"/>
              </w:rPr>
              <w:t xml:space="preserve"> = _____________(D) as %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5" w:name="_Toc300911880"/>
            <w:r w:rsidRPr="00A3762E">
              <w:rPr>
                <w:rFonts w:ascii="Arial" w:eastAsia="Times New Roman" w:hAnsi="Arial" w:cs="Arial"/>
              </w:rPr>
              <w:t>_____________%</w:t>
            </w:r>
            <w:bookmarkEnd w:id="25"/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  <w:r w:rsidRPr="00A3762E">
              <w:rPr>
                <w:rFonts w:ascii="Arial" w:eastAsia="Times New Roman" w:hAnsi="Arial" w:cs="Arial"/>
              </w:rPr>
              <w:t xml:space="preserve">                     RPIX (Month 12) (B)</w:t>
            </w: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9168" w:type="dxa"/>
            <w:gridSpan w:val="2"/>
          </w:tcPr>
          <w:p w:rsidR="006E2C0F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bookmarkStart w:id="26" w:name="_Toc300911882"/>
            <w:r w:rsidRPr="00A3762E">
              <w:rPr>
                <w:rFonts w:ascii="Arial" w:eastAsia="Times New Roman" w:hAnsi="Arial" w:cs="Arial"/>
              </w:rPr>
              <w:t>This percentage increase is applied to the rates (</w:t>
            </w:r>
            <w:proofErr w:type="spellStart"/>
            <w:r w:rsidRPr="00A3762E">
              <w:rPr>
                <w:rFonts w:ascii="Arial" w:eastAsia="Times New Roman" w:hAnsi="Arial" w:cs="Arial"/>
              </w:rPr>
              <w:t>i</w:t>
            </w:r>
            <w:proofErr w:type="spellEnd"/>
            <w:r w:rsidRPr="00A3762E">
              <w:rPr>
                <w:rFonts w:ascii="Arial" w:eastAsia="Times New Roman" w:hAnsi="Arial" w:cs="Arial"/>
              </w:rPr>
              <w:t>) adjusted by (ii).</w:t>
            </w:r>
            <w:bookmarkEnd w:id="26"/>
          </w:p>
          <w:p w:rsidR="006E2C0F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  <w:p w:rsidR="006E2C0F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  <w:p w:rsidR="006E2C0F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6E2C0F">
              <w:rPr>
                <w:rFonts w:ascii="Arial" w:eastAsia="Times New Roman" w:hAnsi="Arial" w:cs="Arial"/>
                <w:u w:val="single"/>
              </w:rPr>
              <w:t>Notes</w:t>
            </w:r>
            <w:r>
              <w:rPr>
                <w:rFonts w:ascii="Arial" w:eastAsia="Times New Roman" w:hAnsi="Arial" w:cs="Arial"/>
              </w:rPr>
              <w:t>:</w:t>
            </w:r>
          </w:p>
          <w:p w:rsidR="006E2C0F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  <w:p w:rsidR="006E2C0F" w:rsidRDefault="006E2C0F" w:rsidP="006E2C0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 w:rsidRPr="006E2C0F">
              <w:rPr>
                <w:rFonts w:ascii="Arial" w:eastAsia="Times New Roman" w:hAnsi="Arial" w:cs="Arial"/>
              </w:rPr>
              <w:t>Adjustments take place on the anniversary of the date of signature on the contract.</w:t>
            </w:r>
          </w:p>
          <w:p w:rsidR="006E2C0F" w:rsidRPr="006E2C0F" w:rsidRDefault="006E2C0F" w:rsidP="006E2C0F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Adjustments </w:t>
            </w:r>
            <w:r w:rsidRPr="006E2C0F">
              <w:rPr>
                <w:rFonts w:ascii="Arial" w:eastAsia="Times New Roman" w:hAnsi="Arial" w:cs="Arial"/>
                <w:u w:val="single"/>
              </w:rPr>
              <w:t>will</w:t>
            </w:r>
            <w:r>
              <w:rPr>
                <w:rFonts w:ascii="Arial" w:eastAsia="Times New Roman" w:hAnsi="Arial" w:cs="Arial"/>
              </w:rPr>
              <w:t xml:space="preserve"> apply to remaining portions of incomplete blocks after an anniversary</w:t>
            </w:r>
            <w:r w:rsidR="001E7040">
              <w:rPr>
                <w:rFonts w:ascii="Arial" w:eastAsia="Times New Roman" w:hAnsi="Arial" w:cs="Arial"/>
              </w:rPr>
              <w:t xml:space="preserve"> i.e. will be included from first valuation following an anniversary.</w:t>
            </w: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9168" w:type="dxa"/>
            <w:gridSpan w:val="2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9464" w:type="dxa"/>
            <w:gridSpan w:val="3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6E2C0F" w:rsidRPr="00A3762E" w:rsidTr="00AB06DE">
        <w:tc>
          <w:tcPr>
            <w:tcW w:w="56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96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3" w:type="dxa"/>
          </w:tcPr>
          <w:p w:rsidR="006E2C0F" w:rsidRPr="00A3762E" w:rsidRDefault="006E2C0F" w:rsidP="00AB06DE">
            <w:pPr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65" w:type="dxa"/>
          </w:tcPr>
          <w:p w:rsidR="006E2C0F" w:rsidRPr="00A3762E" w:rsidRDefault="006E2C0F" w:rsidP="00AB06DE">
            <w:pPr>
              <w:tabs>
                <w:tab w:val="left" w:pos="284"/>
                <w:tab w:val="left" w:pos="680"/>
              </w:tabs>
              <w:jc w:val="left"/>
              <w:outlineLvl w:val="0"/>
              <w:rPr>
                <w:rFonts w:ascii="Arial" w:eastAsia="Times New Roman" w:hAnsi="Arial" w:cs="Arial"/>
              </w:rPr>
            </w:pPr>
          </w:p>
        </w:tc>
      </w:tr>
    </w:tbl>
    <w:p w:rsidR="005E6C01" w:rsidRDefault="005E6C01" w:rsidP="00763A76"/>
    <w:sectPr w:rsidR="005E6C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0F" w:rsidRDefault="006E2C0F" w:rsidP="006E2C0F">
      <w:r>
        <w:separator/>
      </w:r>
    </w:p>
  </w:endnote>
  <w:endnote w:type="continuationSeparator" w:id="0">
    <w:p w:rsidR="006E2C0F" w:rsidRDefault="006E2C0F" w:rsidP="006E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7" w:rsidRDefault="006E2C0F" w:rsidP="000725C7">
    <w:pPr>
      <w:pStyle w:val="Footer"/>
      <w:rPr>
        <w:rStyle w:val="PageNumber"/>
      </w:rPr>
    </w:pPr>
    <w:r>
      <w:rPr>
        <w:rStyle w:val="PageNumber"/>
      </w:rPr>
      <w:tab/>
      <w:t xml:space="preserve">                                         Tender Issue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7" w:rsidRDefault="006E2C0F" w:rsidP="000725C7">
    <w:pPr>
      <w:pStyle w:val="Footer"/>
      <w:rPr>
        <w:rStyle w:val="PageNumber"/>
      </w:rPr>
    </w:pPr>
    <w:r>
      <w:rPr>
        <w:rStyle w:val="PageNumber"/>
      </w:rPr>
      <w:t xml:space="preserve">        J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12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rStyle w:val="PageNumber"/>
      </w:rPr>
      <w:tab/>
      <w:t xml:space="preserve"> Tender Issue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0F" w:rsidRDefault="006E2C0F" w:rsidP="006E2C0F">
      <w:r>
        <w:separator/>
      </w:r>
    </w:p>
  </w:footnote>
  <w:footnote w:type="continuationSeparator" w:id="0">
    <w:p w:rsidR="006E2C0F" w:rsidRDefault="006E2C0F" w:rsidP="006E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1E0" w:firstRow="1" w:lastRow="1" w:firstColumn="1" w:lastColumn="1" w:noHBand="0" w:noVBand="0"/>
    </w:tblPr>
    <w:tblGrid>
      <w:gridCol w:w="6345"/>
      <w:gridCol w:w="4111"/>
    </w:tblGrid>
    <w:tr w:rsidR="000725C7" w:rsidRPr="00A53CDD" w:rsidTr="000725C7">
      <w:tc>
        <w:tcPr>
          <w:tcW w:w="6345" w:type="dxa"/>
        </w:tcPr>
        <w:p w:rsidR="000725C7" w:rsidRPr="000D4B6F" w:rsidRDefault="006E2C0F" w:rsidP="00081370">
          <w:pPr>
            <w:pStyle w:val="Header"/>
            <w:ind w:right="-426"/>
            <w:rPr>
              <w:highlight w:val="yellow"/>
            </w:rPr>
          </w:pPr>
          <w:r>
            <w:rPr>
              <w:sz w:val="18"/>
              <w:szCs w:val="18"/>
            </w:rPr>
            <w:t>Structural Support to Cantilevered Balconies</w:t>
          </w:r>
        </w:p>
      </w:tc>
      <w:tc>
        <w:tcPr>
          <w:tcW w:w="4111" w:type="dxa"/>
        </w:tcPr>
        <w:p w:rsidR="000725C7" w:rsidRPr="000D4B6F" w:rsidRDefault="00C1121F" w:rsidP="000725C7">
          <w:pPr>
            <w:pStyle w:val="Header"/>
            <w:ind w:right="-108"/>
            <w:rPr>
              <w:sz w:val="16"/>
              <w:szCs w:val="16"/>
              <w:highlight w:val="yellow"/>
            </w:rPr>
          </w:pPr>
        </w:p>
      </w:tc>
    </w:tr>
  </w:tbl>
  <w:p w:rsidR="000725C7" w:rsidRDefault="00C1121F">
    <w:pPr>
      <w:pStyle w:val="Header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6D13"/>
    <w:multiLevelType w:val="hybridMultilevel"/>
    <w:tmpl w:val="3BC20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F"/>
    <w:rsid w:val="001E7040"/>
    <w:rsid w:val="005E6C01"/>
    <w:rsid w:val="006E2C0F"/>
    <w:rsid w:val="00763A76"/>
    <w:rsid w:val="00C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0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0F"/>
  </w:style>
  <w:style w:type="paragraph" w:styleId="Footer">
    <w:name w:val="footer"/>
    <w:basedOn w:val="Normal"/>
    <w:link w:val="FooterChar"/>
    <w:uiPriority w:val="99"/>
    <w:unhideWhenUsed/>
    <w:rsid w:val="006E2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0F"/>
  </w:style>
  <w:style w:type="character" w:styleId="PageNumber">
    <w:name w:val="page number"/>
    <w:basedOn w:val="DefaultParagraphFont"/>
    <w:rsid w:val="006E2C0F"/>
  </w:style>
  <w:style w:type="paragraph" w:styleId="ListParagraph">
    <w:name w:val="List Paragraph"/>
    <w:basedOn w:val="Normal"/>
    <w:uiPriority w:val="34"/>
    <w:qFormat/>
    <w:rsid w:val="006E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3.2 Appendix J - Fluctuations</dc:title>
  <dc:subject/>
  <dc:creator/>
  <cp:keywords/>
  <dc:description/>
  <cp:lastModifiedBy/>
  <cp:revision>1</cp:revision>
  <dcterms:created xsi:type="dcterms:W3CDTF">2018-06-22T12:55:00Z</dcterms:created>
  <dcterms:modified xsi:type="dcterms:W3CDTF">2018-06-22T12:55:00Z</dcterms:modified>
</cp:coreProperties>
</file>