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7052D" w14:textId="77777777" w:rsidR="00997B64" w:rsidRDefault="00997B64">
      <w:pPr>
        <w:tabs>
          <w:tab w:val="left" w:pos="720"/>
        </w:tabs>
        <w:rPr>
          <w:b/>
          <w:sz w:val="32"/>
        </w:rPr>
      </w:pPr>
      <w:r>
        <w:rPr>
          <w:b/>
          <w:sz w:val="32"/>
        </w:rPr>
        <w:t xml:space="preserve">ANNUAL LEAVE ENTITLEMENT – SUPPORT EMPLOYEES </w:t>
      </w:r>
    </w:p>
    <w:p w14:paraId="756E3A94" w14:textId="5EC1DE9B" w:rsidR="00997B64" w:rsidRDefault="00997B64">
      <w:pPr>
        <w:tabs>
          <w:tab w:val="left" w:pos="720"/>
        </w:tabs>
        <w:rPr>
          <w:sz w:val="32"/>
        </w:rPr>
      </w:pPr>
      <w:r>
        <w:rPr>
          <w:b/>
          <w:sz w:val="32"/>
        </w:rPr>
        <w:t>(52 WEEKS)</w:t>
      </w:r>
      <w:r w:rsidR="00231BE2">
        <w:rPr>
          <w:b/>
          <w:sz w:val="32"/>
        </w:rPr>
        <w:t xml:space="preserve"> </w:t>
      </w:r>
      <w:r w:rsidR="00231BE2" w:rsidRPr="00231BE2">
        <w:rPr>
          <w:b/>
        </w:rPr>
        <w:t>(</w:t>
      </w:r>
      <w:proofErr w:type="gramStart"/>
      <w:r w:rsidR="00231BE2" w:rsidRPr="00231BE2">
        <w:rPr>
          <w:b/>
        </w:rPr>
        <w:t>applicable</w:t>
      </w:r>
      <w:proofErr w:type="gramEnd"/>
      <w:r w:rsidR="00231BE2" w:rsidRPr="00231BE2">
        <w:rPr>
          <w:b/>
        </w:rPr>
        <w:t xml:space="preserve"> to schools that have implemented the Pay &amp; Allowances Framework 2015)</w:t>
      </w:r>
    </w:p>
    <w:p w14:paraId="20CA388D" w14:textId="77777777" w:rsidR="00997B64" w:rsidRDefault="00997B64">
      <w:pPr>
        <w:tabs>
          <w:tab w:val="left" w:pos="720"/>
        </w:tabs>
      </w:pPr>
    </w:p>
    <w:p w14:paraId="08E84B93" w14:textId="77777777" w:rsidR="00997B64" w:rsidRDefault="00997B64">
      <w:pPr>
        <w:tabs>
          <w:tab w:val="left" w:pos="720"/>
        </w:tabs>
      </w:pPr>
    </w:p>
    <w:p w14:paraId="52A7EB6B" w14:textId="77777777" w:rsidR="00D22DC3" w:rsidRPr="00AD09E0" w:rsidRDefault="00997B64" w:rsidP="00AD09E0">
      <w:pPr>
        <w:pStyle w:val="BodyText"/>
        <w:rPr>
          <w:sz w:val="24"/>
          <w:szCs w:val="24"/>
        </w:rPr>
      </w:pPr>
      <w:r w:rsidRPr="00AD09E0">
        <w:rPr>
          <w:sz w:val="24"/>
          <w:szCs w:val="24"/>
        </w:rPr>
        <w:t xml:space="preserve">The annual leave year is 1 April to 31 March.  </w:t>
      </w:r>
      <w:r w:rsidRPr="00AD09E0">
        <w:rPr>
          <w:b/>
          <w:sz w:val="24"/>
          <w:szCs w:val="24"/>
        </w:rPr>
        <w:t xml:space="preserve">The leave entitlement on this and the next page relates to staff working a full 52 week year only. </w:t>
      </w:r>
      <w:r w:rsidRPr="00AD09E0">
        <w:rPr>
          <w:sz w:val="24"/>
          <w:szCs w:val="24"/>
        </w:rPr>
        <w:t xml:space="preserve"> In addition to public holidays</w:t>
      </w:r>
      <w:r w:rsidR="00ED14D3" w:rsidRPr="00AD09E0">
        <w:rPr>
          <w:sz w:val="24"/>
          <w:szCs w:val="24"/>
        </w:rPr>
        <w:t>,</w:t>
      </w:r>
      <w:r w:rsidRPr="00AD09E0">
        <w:rPr>
          <w:sz w:val="24"/>
          <w:szCs w:val="24"/>
        </w:rPr>
        <w:t xml:space="preserve"> annual leave entitlement is as follows:</w:t>
      </w:r>
    </w:p>
    <w:p w14:paraId="0EFF3760" w14:textId="77777777" w:rsidR="00D22DC3" w:rsidRPr="00D22DC3" w:rsidRDefault="00D22DC3" w:rsidP="00AD09E0">
      <w:pPr>
        <w:widowControl w:val="0"/>
        <w:ind w:left="1134"/>
        <w:rPr>
          <w:snapToGrid w:val="0"/>
          <w:color w:val="000000"/>
          <w:szCs w:val="20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56"/>
        <w:gridCol w:w="2409"/>
        <w:gridCol w:w="1560"/>
        <w:gridCol w:w="1553"/>
      </w:tblGrid>
      <w:tr w:rsidR="00AD09E0" w:rsidRPr="005D01D4" w14:paraId="2137F53C" w14:textId="77777777" w:rsidTr="00AD09E0">
        <w:tc>
          <w:tcPr>
            <w:tcW w:w="3256" w:type="dxa"/>
          </w:tcPr>
          <w:p w14:paraId="6FFC06A2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color w:val="auto"/>
                <w:sz w:val="24"/>
                <w:szCs w:val="24"/>
              </w:rPr>
              <w:t>Grade</w:t>
            </w:r>
          </w:p>
        </w:tc>
        <w:tc>
          <w:tcPr>
            <w:tcW w:w="2409" w:type="dxa"/>
          </w:tcPr>
          <w:p w14:paraId="32976DDD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color w:val="auto"/>
                <w:sz w:val="24"/>
                <w:szCs w:val="24"/>
              </w:rPr>
              <w:t>Basic Entitlement from June 2015</w:t>
            </w:r>
          </w:p>
        </w:tc>
        <w:tc>
          <w:tcPr>
            <w:tcW w:w="3113" w:type="dxa"/>
            <w:gridSpan w:val="2"/>
          </w:tcPr>
          <w:p w14:paraId="765E783F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color w:val="auto"/>
                <w:sz w:val="24"/>
                <w:szCs w:val="24"/>
              </w:rPr>
              <w:t>Entitlement related to service from June 2015</w:t>
            </w:r>
          </w:p>
        </w:tc>
      </w:tr>
      <w:tr w:rsidR="00AD09E0" w:rsidRPr="005D01D4" w14:paraId="417E839C" w14:textId="77777777" w:rsidTr="00AD09E0">
        <w:tc>
          <w:tcPr>
            <w:tcW w:w="3256" w:type="dxa"/>
            <w:vAlign w:val="center"/>
          </w:tcPr>
          <w:p w14:paraId="7AC7CB72" w14:textId="77777777" w:rsidR="00AD09E0" w:rsidRPr="005D01D4" w:rsidRDefault="00AD09E0" w:rsidP="00AD09E0">
            <w:pPr>
              <w:pStyle w:val="BodySingle"/>
              <w:ind w:left="0" w:firstLine="0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D4CDA6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E22F3F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color w:val="auto"/>
                <w:sz w:val="24"/>
                <w:szCs w:val="24"/>
              </w:rPr>
              <w:t>at least 5 years</w:t>
            </w:r>
          </w:p>
        </w:tc>
        <w:tc>
          <w:tcPr>
            <w:tcW w:w="1553" w:type="dxa"/>
          </w:tcPr>
          <w:p w14:paraId="4B3B6AD6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color w:val="auto"/>
                <w:sz w:val="24"/>
                <w:szCs w:val="24"/>
              </w:rPr>
              <w:t>at least 20 years</w:t>
            </w:r>
          </w:p>
        </w:tc>
      </w:tr>
      <w:tr w:rsidR="00AD09E0" w:rsidRPr="005D01D4" w14:paraId="4D97AA84" w14:textId="77777777" w:rsidTr="00AD09E0">
        <w:tc>
          <w:tcPr>
            <w:tcW w:w="3256" w:type="dxa"/>
            <w:vAlign w:val="center"/>
          </w:tcPr>
          <w:p w14:paraId="2D8BD8C8" w14:textId="77777777" w:rsidR="00AD09E0" w:rsidRPr="005D01D4" w:rsidRDefault="00AD09E0" w:rsidP="00AD09E0">
            <w:pPr>
              <w:pStyle w:val="BodySingle"/>
              <w:ind w:left="0" w:firstLine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Cs w:val="24"/>
              </w:rPr>
              <w:t>Up to and including G</w:t>
            </w:r>
            <w:r w:rsidRPr="005D01D4">
              <w:rPr>
                <w:rFonts w:cs="Arial"/>
                <w:sz w:val="24"/>
                <w:szCs w:val="24"/>
                <w:lang w:eastAsia="en-GB"/>
              </w:rPr>
              <w:t>rade 5</w:t>
            </w:r>
          </w:p>
        </w:tc>
        <w:tc>
          <w:tcPr>
            <w:tcW w:w="2409" w:type="dxa"/>
            <w:vAlign w:val="center"/>
          </w:tcPr>
          <w:p w14:paraId="690833B7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23 days </w:t>
            </w:r>
          </w:p>
        </w:tc>
        <w:tc>
          <w:tcPr>
            <w:tcW w:w="1560" w:type="dxa"/>
            <w:vAlign w:val="center"/>
          </w:tcPr>
          <w:p w14:paraId="7AB4E31F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>28 days</w:t>
            </w:r>
            <w:r>
              <w:rPr>
                <w:rFonts w:cs="Arial"/>
                <w:sz w:val="24"/>
                <w:szCs w:val="24"/>
                <w:lang w:eastAsia="en-GB"/>
              </w:rPr>
              <w:t>*</w:t>
            </w: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087A0ED5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>31 days</w:t>
            </w:r>
            <w:r>
              <w:rPr>
                <w:rFonts w:cs="Arial"/>
                <w:sz w:val="24"/>
                <w:szCs w:val="24"/>
                <w:lang w:eastAsia="en-GB"/>
              </w:rPr>
              <w:t>*</w:t>
            </w:r>
          </w:p>
        </w:tc>
      </w:tr>
      <w:tr w:rsidR="00AD09E0" w:rsidRPr="005D01D4" w14:paraId="1C5926BD" w14:textId="77777777" w:rsidTr="00AD09E0">
        <w:trPr>
          <w:trHeight w:val="365"/>
        </w:trPr>
        <w:tc>
          <w:tcPr>
            <w:tcW w:w="3256" w:type="dxa"/>
            <w:vAlign w:val="center"/>
          </w:tcPr>
          <w:p w14:paraId="4E755914" w14:textId="77777777" w:rsidR="00AD09E0" w:rsidRPr="005D01D4" w:rsidRDefault="00AD09E0" w:rsidP="00AD09E0">
            <w:pPr>
              <w:pStyle w:val="BodySingle"/>
              <w:ind w:left="0" w:firstLine="0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>Grades 6 and 7</w:t>
            </w:r>
          </w:p>
        </w:tc>
        <w:tc>
          <w:tcPr>
            <w:tcW w:w="2409" w:type="dxa"/>
            <w:vAlign w:val="center"/>
          </w:tcPr>
          <w:p w14:paraId="06E726EA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24 days </w:t>
            </w:r>
          </w:p>
        </w:tc>
        <w:tc>
          <w:tcPr>
            <w:tcW w:w="1560" w:type="dxa"/>
            <w:vAlign w:val="center"/>
          </w:tcPr>
          <w:p w14:paraId="6CCC9FE5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28 days*</w:t>
            </w:r>
          </w:p>
        </w:tc>
        <w:tc>
          <w:tcPr>
            <w:tcW w:w="1553" w:type="dxa"/>
            <w:vAlign w:val="center"/>
          </w:tcPr>
          <w:p w14:paraId="011EF993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>31 days</w:t>
            </w:r>
            <w:r>
              <w:rPr>
                <w:rFonts w:cs="Arial"/>
                <w:sz w:val="24"/>
                <w:szCs w:val="24"/>
                <w:lang w:eastAsia="en-GB"/>
              </w:rPr>
              <w:t>*</w:t>
            </w: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D09E0" w:rsidRPr="005D01D4" w14:paraId="008AC459" w14:textId="77777777" w:rsidTr="00AD09E0">
        <w:tc>
          <w:tcPr>
            <w:tcW w:w="3256" w:type="dxa"/>
            <w:vAlign w:val="center"/>
          </w:tcPr>
          <w:p w14:paraId="232FEC31" w14:textId="77777777" w:rsidR="00AD09E0" w:rsidRPr="005D01D4" w:rsidRDefault="00AD09E0" w:rsidP="00AD09E0">
            <w:pPr>
              <w:pStyle w:val="BodySingle"/>
              <w:ind w:left="0" w:firstLine="0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>Grades 8 and 9</w:t>
            </w:r>
          </w:p>
        </w:tc>
        <w:tc>
          <w:tcPr>
            <w:tcW w:w="2409" w:type="dxa"/>
            <w:vAlign w:val="center"/>
          </w:tcPr>
          <w:p w14:paraId="0084D661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25 days </w:t>
            </w:r>
          </w:p>
        </w:tc>
        <w:tc>
          <w:tcPr>
            <w:tcW w:w="1560" w:type="dxa"/>
            <w:vAlign w:val="center"/>
          </w:tcPr>
          <w:p w14:paraId="0320F669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28 days </w:t>
            </w:r>
          </w:p>
        </w:tc>
        <w:tc>
          <w:tcPr>
            <w:tcW w:w="1553" w:type="dxa"/>
            <w:vAlign w:val="center"/>
          </w:tcPr>
          <w:p w14:paraId="2299C798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31 days </w:t>
            </w:r>
          </w:p>
        </w:tc>
      </w:tr>
      <w:tr w:rsidR="00AD09E0" w:rsidRPr="005D01D4" w14:paraId="36020178" w14:textId="77777777" w:rsidTr="00AD09E0">
        <w:tc>
          <w:tcPr>
            <w:tcW w:w="3256" w:type="dxa"/>
            <w:vAlign w:val="center"/>
          </w:tcPr>
          <w:p w14:paraId="669B3AA9" w14:textId="77777777" w:rsidR="00AD09E0" w:rsidRPr="005D01D4" w:rsidRDefault="00AD09E0" w:rsidP="00AD09E0">
            <w:pPr>
              <w:pStyle w:val="BodySingle"/>
              <w:ind w:left="0" w:firstLine="0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>Grade 10</w:t>
            </w:r>
          </w:p>
        </w:tc>
        <w:tc>
          <w:tcPr>
            <w:tcW w:w="2409" w:type="dxa"/>
            <w:vAlign w:val="center"/>
          </w:tcPr>
          <w:p w14:paraId="6C26454D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26 days </w:t>
            </w:r>
          </w:p>
        </w:tc>
        <w:tc>
          <w:tcPr>
            <w:tcW w:w="1560" w:type="dxa"/>
            <w:vAlign w:val="center"/>
          </w:tcPr>
          <w:p w14:paraId="133D9376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29 days </w:t>
            </w:r>
          </w:p>
        </w:tc>
        <w:tc>
          <w:tcPr>
            <w:tcW w:w="1553" w:type="dxa"/>
            <w:vAlign w:val="center"/>
          </w:tcPr>
          <w:p w14:paraId="3C4ECC57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32 days </w:t>
            </w:r>
          </w:p>
        </w:tc>
      </w:tr>
      <w:tr w:rsidR="00AD09E0" w:rsidRPr="005D01D4" w14:paraId="09123805" w14:textId="77777777" w:rsidTr="00AD09E0">
        <w:tc>
          <w:tcPr>
            <w:tcW w:w="3256" w:type="dxa"/>
            <w:vAlign w:val="center"/>
          </w:tcPr>
          <w:p w14:paraId="05FF2699" w14:textId="77777777" w:rsidR="00AD09E0" w:rsidRPr="005D01D4" w:rsidRDefault="00AD09E0" w:rsidP="00AD09E0">
            <w:pPr>
              <w:pStyle w:val="BodySingle"/>
              <w:ind w:left="0" w:firstLine="0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Grade 11 and above </w:t>
            </w:r>
          </w:p>
        </w:tc>
        <w:tc>
          <w:tcPr>
            <w:tcW w:w="2409" w:type="dxa"/>
            <w:vAlign w:val="center"/>
          </w:tcPr>
          <w:p w14:paraId="2878726E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27 days </w:t>
            </w:r>
          </w:p>
        </w:tc>
        <w:tc>
          <w:tcPr>
            <w:tcW w:w="1560" w:type="dxa"/>
            <w:vAlign w:val="center"/>
          </w:tcPr>
          <w:p w14:paraId="2FCABE4D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30 days </w:t>
            </w:r>
          </w:p>
        </w:tc>
        <w:tc>
          <w:tcPr>
            <w:tcW w:w="1553" w:type="dxa"/>
            <w:vAlign w:val="center"/>
          </w:tcPr>
          <w:p w14:paraId="0FF36FBC" w14:textId="77777777" w:rsidR="00AD09E0" w:rsidRPr="005D01D4" w:rsidRDefault="00AD09E0" w:rsidP="00AD09E0">
            <w:pPr>
              <w:pStyle w:val="BodySingle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5D01D4">
              <w:rPr>
                <w:rFonts w:cs="Arial"/>
                <w:sz w:val="24"/>
                <w:szCs w:val="24"/>
                <w:lang w:eastAsia="en-GB"/>
              </w:rPr>
              <w:t xml:space="preserve">33 days </w:t>
            </w:r>
          </w:p>
        </w:tc>
      </w:tr>
    </w:tbl>
    <w:p w14:paraId="1AFBDE8D" w14:textId="77777777" w:rsidR="00997B64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</w:pPr>
    </w:p>
    <w:p w14:paraId="4B958CAE" w14:textId="77777777" w:rsidR="00AD09E0" w:rsidRPr="00481727" w:rsidRDefault="00AD09E0" w:rsidP="00AD09E0">
      <w:pPr>
        <w:pStyle w:val="BodyTextIndent"/>
        <w:ind w:left="0"/>
        <w:jc w:val="both"/>
      </w:pPr>
      <w:r w:rsidRPr="00481727">
        <w:t>* Note that from 1 June 2015 leave entitlement has increased by 1 day due to the implementation of the Council’s Pay &amp; Allowances Framework 2015.</w:t>
      </w:r>
    </w:p>
    <w:p w14:paraId="02B92BA0" w14:textId="77777777" w:rsidR="00997B64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</w:pPr>
    </w:p>
    <w:p w14:paraId="14CB3C6C" w14:textId="12854B93" w:rsidR="00997B64" w:rsidRPr="0060089A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  <w:rPr>
          <w:b/>
        </w:rPr>
      </w:pPr>
      <w:r>
        <w:t>a.</w:t>
      </w:r>
      <w:r>
        <w:tab/>
      </w:r>
      <w:r w:rsidR="00A2322C">
        <w:t xml:space="preserve">Additional leave entitlements related to the length of service are granted when 5 and 20 </w:t>
      </w:r>
      <w:proofErr w:type="spellStart"/>
      <w:r w:rsidR="00A2322C">
        <w:t>years service</w:t>
      </w:r>
      <w:proofErr w:type="spellEnd"/>
      <w:r w:rsidR="00A2322C">
        <w:t xml:space="preserve"> is complete</w:t>
      </w:r>
      <w:r>
        <w:t>.</w:t>
      </w:r>
      <w:r w:rsidR="00A2322C">
        <w:t xml:space="preserve">   The additional leave </w:t>
      </w:r>
      <w:r w:rsidR="00EC3750">
        <w:t xml:space="preserve">must be </w:t>
      </w:r>
      <w:r w:rsidR="00A2322C">
        <w:t>added pro rata to the amount of the leave year o</w:t>
      </w:r>
      <w:bookmarkStart w:id="0" w:name="_GoBack"/>
      <w:bookmarkEnd w:id="0"/>
      <w:r w:rsidR="00A2322C">
        <w:t>utstanding when the employee qualifies</w:t>
      </w:r>
      <w:r w:rsidR="00E83AEA">
        <w:t xml:space="preserve"> </w:t>
      </w:r>
      <w:r w:rsidR="00586299">
        <w:t>(on the anniversary of their start date)</w:t>
      </w:r>
      <w:r w:rsidR="00A2322C">
        <w:t>.  The additional leave will be expressed in whole days rounded down where necessary.  (Ref. NJC for Local Government Services Circular 4/99)</w:t>
      </w:r>
      <w:r w:rsidR="0060089A">
        <w:t xml:space="preserve">.   </w:t>
      </w:r>
      <w:r w:rsidR="0060089A" w:rsidRPr="0060089A">
        <w:rPr>
          <w:b/>
        </w:rPr>
        <w:t xml:space="preserve">Please note it is the </w:t>
      </w:r>
      <w:r w:rsidR="00EC3750">
        <w:rPr>
          <w:b/>
        </w:rPr>
        <w:t>school’s</w:t>
      </w:r>
      <w:r w:rsidR="00EC3750" w:rsidRPr="0060089A">
        <w:rPr>
          <w:b/>
        </w:rPr>
        <w:t xml:space="preserve"> </w:t>
      </w:r>
      <w:r w:rsidR="0060089A" w:rsidRPr="0060089A">
        <w:rPr>
          <w:b/>
        </w:rPr>
        <w:t xml:space="preserve">responsibility to </w:t>
      </w:r>
      <w:r w:rsidR="00EC3750">
        <w:rPr>
          <w:b/>
        </w:rPr>
        <w:t>update leave entitlement when employees</w:t>
      </w:r>
      <w:r w:rsidR="0060089A" w:rsidRPr="0060089A">
        <w:rPr>
          <w:b/>
        </w:rPr>
        <w:t xml:space="preserve"> achieve 5 and 20 </w:t>
      </w:r>
      <w:proofErr w:type="spellStart"/>
      <w:r w:rsidR="0060089A" w:rsidRPr="0060089A">
        <w:rPr>
          <w:b/>
        </w:rPr>
        <w:t>years service</w:t>
      </w:r>
      <w:proofErr w:type="spellEnd"/>
      <w:r w:rsidR="0060089A" w:rsidRPr="0060089A">
        <w:rPr>
          <w:b/>
        </w:rPr>
        <w:t xml:space="preserve">.   </w:t>
      </w:r>
    </w:p>
    <w:p w14:paraId="1259DC69" w14:textId="77777777" w:rsidR="0068488E" w:rsidRPr="002420A9" w:rsidRDefault="0068488E" w:rsidP="0068488E">
      <w:pPr>
        <w:jc w:val="both"/>
        <w:rPr>
          <w:rFonts w:cs="Arial"/>
          <w:lang w:eastAsia="en-GB"/>
        </w:rPr>
      </w:pPr>
      <w:r w:rsidRPr="0068488E">
        <w:tab/>
      </w:r>
    </w:p>
    <w:p w14:paraId="1C6972B3" w14:textId="1A64178E" w:rsidR="0068488E" w:rsidRPr="00455443" w:rsidRDefault="0068488E" w:rsidP="002420A9">
      <w:pPr>
        <w:ind w:left="567" w:hanging="567"/>
        <w:jc w:val="both"/>
        <w:rPr>
          <w:rFonts w:cs="Arial"/>
          <w:lang w:eastAsia="en-GB"/>
        </w:rPr>
      </w:pPr>
      <w:r w:rsidRPr="00455443">
        <w:rPr>
          <w:rFonts w:cs="Arial"/>
          <w:lang w:eastAsia="en-GB"/>
        </w:rPr>
        <w:t>b.</w:t>
      </w:r>
      <w:r w:rsidRPr="00455443">
        <w:rPr>
          <w:rFonts w:cs="Arial"/>
          <w:lang w:eastAsia="en-GB"/>
        </w:rPr>
        <w:tab/>
      </w:r>
      <w:r w:rsidR="002420A9" w:rsidRPr="00455443">
        <w:rPr>
          <w:rFonts w:cs="Arial"/>
          <w:lang w:eastAsia="en-GB"/>
        </w:rPr>
        <w:t>All c</w:t>
      </w:r>
      <w:r w:rsidRPr="00455443">
        <w:rPr>
          <w:rFonts w:cs="Arial"/>
          <w:lang w:eastAsia="en-GB"/>
        </w:rPr>
        <w:t xml:space="preserve">ontinuous Local Government </w:t>
      </w:r>
      <w:r w:rsidR="002420A9" w:rsidRPr="00455443">
        <w:rPr>
          <w:rFonts w:cs="Arial"/>
          <w:lang w:eastAsia="en-GB"/>
        </w:rPr>
        <w:t>service counts for the purposes of calculating annual leave.  This includes service with:</w:t>
      </w:r>
    </w:p>
    <w:p w14:paraId="108A460B" w14:textId="77777777" w:rsidR="0068488E" w:rsidRPr="002420A9" w:rsidRDefault="0068488E" w:rsidP="0068488E">
      <w:pPr>
        <w:jc w:val="both"/>
        <w:rPr>
          <w:rFonts w:cs="Arial"/>
          <w:lang w:eastAsia="en-GB"/>
        </w:rPr>
      </w:pPr>
    </w:p>
    <w:p w14:paraId="23ADBC29" w14:textId="77777777" w:rsidR="0068488E" w:rsidRPr="002420A9" w:rsidRDefault="0068488E" w:rsidP="002420A9">
      <w:pPr>
        <w:pStyle w:val="ListParagraph"/>
        <w:numPr>
          <w:ilvl w:val="0"/>
          <w:numId w:val="10"/>
        </w:numPr>
        <w:tabs>
          <w:tab w:val="clear" w:pos="600"/>
          <w:tab w:val="clear" w:pos="1200"/>
          <w:tab w:val="clear" w:pos="1800"/>
          <w:tab w:val="clear" w:pos="2400"/>
          <w:tab w:val="clear" w:pos="4440"/>
          <w:tab w:val="clear" w:pos="7080"/>
          <w:tab w:val="clear" w:pos="8280"/>
        </w:tabs>
        <w:spacing w:after="160" w:line="259" w:lineRule="auto"/>
        <w:ind w:left="993" w:hanging="426"/>
        <w:jc w:val="both"/>
        <w:rPr>
          <w:rFonts w:ascii="Arial" w:hAnsi="Arial" w:cs="Arial"/>
          <w:szCs w:val="24"/>
          <w:lang w:eastAsia="en-GB"/>
        </w:rPr>
      </w:pPr>
      <w:r w:rsidRPr="002420A9">
        <w:rPr>
          <w:rFonts w:ascii="Arial" w:hAnsi="Arial" w:cs="Arial"/>
          <w:szCs w:val="24"/>
          <w:lang w:eastAsia="en-GB"/>
        </w:rPr>
        <w:t xml:space="preserve">a local authority </w:t>
      </w:r>
    </w:p>
    <w:p w14:paraId="5B183228" w14:textId="77777777" w:rsidR="0068488E" w:rsidRPr="002420A9" w:rsidRDefault="0068488E" w:rsidP="002420A9">
      <w:pPr>
        <w:pStyle w:val="ListParagraph"/>
        <w:numPr>
          <w:ilvl w:val="0"/>
          <w:numId w:val="10"/>
        </w:numPr>
        <w:tabs>
          <w:tab w:val="clear" w:pos="600"/>
          <w:tab w:val="clear" w:pos="1200"/>
          <w:tab w:val="clear" w:pos="1800"/>
          <w:tab w:val="clear" w:pos="2400"/>
          <w:tab w:val="clear" w:pos="4440"/>
          <w:tab w:val="clear" w:pos="7080"/>
          <w:tab w:val="clear" w:pos="8280"/>
        </w:tabs>
        <w:spacing w:after="160" w:line="259" w:lineRule="auto"/>
        <w:ind w:left="993" w:hanging="426"/>
        <w:jc w:val="both"/>
        <w:rPr>
          <w:rFonts w:ascii="Arial" w:hAnsi="Arial" w:cs="Arial"/>
          <w:szCs w:val="24"/>
          <w:lang w:eastAsia="en-GB"/>
        </w:rPr>
      </w:pPr>
      <w:r w:rsidRPr="002420A9">
        <w:rPr>
          <w:rFonts w:ascii="Arial" w:hAnsi="Arial" w:cs="Arial"/>
          <w:szCs w:val="24"/>
          <w:lang w:eastAsia="en-GB"/>
        </w:rPr>
        <w:t xml:space="preserve">a school where a local authority is the employer </w:t>
      </w:r>
    </w:p>
    <w:p w14:paraId="4A490A63" w14:textId="77777777" w:rsidR="0068488E" w:rsidRPr="002420A9" w:rsidRDefault="0068488E" w:rsidP="002420A9">
      <w:pPr>
        <w:pStyle w:val="ListParagraph"/>
        <w:numPr>
          <w:ilvl w:val="0"/>
          <w:numId w:val="10"/>
        </w:numPr>
        <w:tabs>
          <w:tab w:val="clear" w:pos="600"/>
          <w:tab w:val="clear" w:pos="1200"/>
          <w:tab w:val="clear" w:pos="1800"/>
          <w:tab w:val="clear" w:pos="2400"/>
          <w:tab w:val="clear" w:pos="4440"/>
          <w:tab w:val="clear" w:pos="7080"/>
          <w:tab w:val="clear" w:pos="8280"/>
        </w:tabs>
        <w:spacing w:after="160" w:line="259" w:lineRule="auto"/>
        <w:ind w:left="993" w:hanging="426"/>
        <w:jc w:val="both"/>
        <w:rPr>
          <w:rFonts w:ascii="Arial" w:hAnsi="Arial" w:cs="Arial"/>
          <w:szCs w:val="24"/>
          <w:lang w:eastAsia="en-GB"/>
        </w:rPr>
      </w:pPr>
      <w:r w:rsidRPr="002420A9">
        <w:rPr>
          <w:rFonts w:ascii="Arial" w:hAnsi="Arial" w:cs="Arial"/>
          <w:szCs w:val="24"/>
          <w:lang w:eastAsia="en-GB"/>
        </w:rPr>
        <w:t xml:space="preserve">or any other body identified as an associated employer under the Redundancy Payments (Local Government) Modification Order 1983 (as amended) - which will cover some NHS, university, housing association, FE college and policy support staff roles; </w:t>
      </w:r>
    </w:p>
    <w:p w14:paraId="5C019B60" w14:textId="77777777" w:rsidR="002420A9" w:rsidRDefault="002420A9" w:rsidP="002420A9">
      <w:pPr>
        <w:ind w:left="567"/>
        <w:jc w:val="both"/>
      </w:pPr>
      <w:r>
        <w:t>Details of the modification order are at:</w:t>
      </w:r>
    </w:p>
    <w:p w14:paraId="346F9D73" w14:textId="44B2A2DE" w:rsidR="002420A9" w:rsidRDefault="00156EBF" w:rsidP="002420A9">
      <w:pPr>
        <w:ind w:left="567"/>
        <w:jc w:val="both"/>
        <w:rPr>
          <w:rStyle w:val="Hyperlink"/>
        </w:rPr>
      </w:pPr>
      <w:hyperlink r:id="rId7" w:history="1">
        <w:r w:rsidR="002420A9" w:rsidRPr="002420A9">
          <w:rPr>
            <w:rStyle w:val="Hyperlink"/>
          </w:rPr>
          <w:t>http://www.legislation.gov.uk/uksi/1999/2277/pdfs/uksi_19992277_en.pdf</w:t>
        </w:r>
      </w:hyperlink>
    </w:p>
    <w:p w14:paraId="221A40CE" w14:textId="77777777" w:rsidR="002420A9" w:rsidRDefault="002420A9" w:rsidP="002420A9">
      <w:pPr>
        <w:ind w:left="567"/>
        <w:jc w:val="both"/>
        <w:rPr>
          <w:rStyle w:val="Hyperlink"/>
        </w:rPr>
      </w:pPr>
    </w:p>
    <w:p w14:paraId="4736CEC4" w14:textId="38F82117" w:rsidR="0068488E" w:rsidRPr="002420A9" w:rsidRDefault="0068488E" w:rsidP="002420A9">
      <w:pPr>
        <w:ind w:left="567"/>
        <w:jc w:val="both"/>
        <w:rPr>
          <w:rFonts w:cs="Arial"/>
          <w:lang w:eastAsia="en-GB"/>
        </w:rPr>
      </w:pPr>
      <w:r w:rsidRPr="002420A9">
        <w:rPr>
          <w:rFonts w:cs="Arial"/>
          <w:lang w:eastAsia="en-GB"/>
        </w:rPr>
        <w:t xml:space="preserve">For service with different schools/authorities to be continuous there must be a break of no more than one week (Sunday to Saturday) between two contracts, or continuity will be broken (except where there is a redundancy and a new job is taken up </w:t>
      </w:r>
      <w:r w:rsidRPr="002420A9">
        <w:rPr>
          <w:rFonts w:cs="Arial"/>
          <w:u w:val="single"/>
          <w:lang w:eastAsia="en-GB"/>
        </w:rPr>
        <w:t>within</w:t>
      </w:r>
      <w:r w:rsidRPr="002420A9">
        <w:rPr>
          <w:rFonts w:cs="Arial"/>
          <w:lang w:eastAsia="en-GB"/>
        </w:rPr>
        <w:t xml:space="preserve"> 4 weeks).  Please note that school closure periods do not count as breaks in service.  </w:t>
      </w:r>
    </w:p>
    <w:p w14:paraId="1CA70527" w14:textId="77777777" w:rsidR="0068488E" w:rsidRPr="002420A9" w:rsidRDefault="0068488E" w:rsidP="002420A9">
      <w:pPr>
        <w:ind w:left="567"/>
        <w:jc w:val="both"/>
        <w:rPr>
          <w:rFonts w:cs="Arial"/>
          <w:lang w:eastAsia="en-GB"/>
        </w:rPr>
      </w:pPr>
    </w:p>
    <w:p w14:paraId="4E7D7BBD" w14:textId="141EF532" w:rsidR="0068488E" w:rsidRPr="00455443" w:rsidRDefault="0068488E" w:rsidP="002420A9">
      <w:pPr>
        <w:ind w:left="567"/>
        <w:jc w:val="both"/>
        <w:rPr>
          <w:rFonts w:cs="Arial"/>
          <w:lang w:eastAsia="en-GB"/>
        </w:rPr>
      </w:pPr>
      <w:r w:rsidRPr="00455443">
        <w:rPr>
          <w:rFonts w:cs="Arial"/>
          <w:lang w:eastAsia="en-GB"/>
        </w:rPr>
        <w:t>A local agreement is operated by SCC in relation to aggregated service</w:t>
      </w:r>
      <w:r w:rsidR="002420A9" w:rsidRPr="00455443">
        <w:rPr>
          <w:rFonts w:cs="Arial"/>
          <w:lang w:eastAsia="en-GB"/>
        </w:rPr>
        <w:t xml:space="preserve"> (which will apply where the Council is the employer)</w:t>
      </w:r>
      <w:r w:rsidRPr="00455443">
        <w:rPr>
          <w:rFonts w:cs="Arial"/>
          <w:lang w:eastAsia="en-GB"/>
        </w:rPr>
        <w:t>:</w:t>
      </w:r>
    </w:p>
    <w:p w14:paraId="3F00E1F2" w14:textId="44507B40" w:rsidR="0068488E" w:rsidRPr="002420A9" w:rsidRDefault="0068488E" w:rsidP="002420A9">
      <w:pPr>
        <w:ind w:left="567"/>
        <w:jc w:val="both"/>
        <w:rPr>
          <w:rFonts w:cs="Arial"/>
          <w:lang w:eastAsia="en-GB"/>
        </w:rPr>
      </w:pPr>
      <w:r w:rsidRPr="002420A9">
        <w:rPr>
          <w:rFonts w:cs="Arial"/>
          <w:lang w:eastAsia="en-GB"/>
        </w:rPr>
        <w:t xml:space="preserve">All local authority service, service with Hampshire Constabulary (support staff) and </w:t>
      </w:r>
      <w:proofErr w:type="gramStart"/>
      <w:r w:rsidRPr="002420A9">
        <w:rPr>
          <w:rFonts w:cs="Arial"/>
          <w:lang w:eastAsia="en-GB"/>
        </w:rPr>
        <w:t>the</w:t>
      </w:r>
      <w:proofErr w:type="gramEnd"/>
      <w:r w:rsidRPr="002420A9">
        <w:rPr>
          <w:rFonts w:cs="Arial"/>
          <w:lang w:eastAsia="en-GB"/>
        </w:rPr>
        <w:t xml:space="preserve"> Hampshire Fire Service, whether continuous or not, will count towards annual </w:t>
      </w:r>
      <w:r w:rsidRPr="002420A9">
        <w:rPr>
          <w:rFonts w:cs="Arial"/>
          <w:lang w:eastAsia="en-GB"/>
        </w:rPr>
        <w:lastRenderedPageBreak/>
        <w:t xml:space="preserve">leave entitlement (this is </w:t>
      </w:r>
      <w:r w:rsidR="00586299">
        <w:rPr>
          <w:rFonts w:cs="Arial"/>
          <w:lang w:eastAsia="en-GB"/>
        </w:rPr>
        <w:t xml:space="preserve">called </w:t>
      </w:r>
      <w:r w:rsidRPr="002420A9">
        <w:rPr>
          <w:rFonts w:cs="Arial"/>
          <w:lang w:eastAsia="en-GB"/>
        </w:rPr>
        <w:t>aggregated service).  Service with any local authority (District, City, County, Parish, Metropolitan or Borough Council or “New Town” Council) is recognised.</w:t>
      </w:r>
    </w:p>
    <w:p w14:paraId="4C0043BB" w14:textId="6277F169" w:rsidR="006415E8" w:rsidRPr="0042547D" w:rsidRDefault="006415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</w:pPr>
    </w:p>
    <w:p w14:paraId="413331AE" w14:textId="344A3098" w:rsidR="00997B64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</w:pPr>
      <w:r>
        <w:t>c.</w:t>
      </w:r>
      <w:r>
        <w:tab/>
        <w:t xml:space="preserve">Leave is not normally to be taken during the first 6 months of service, although exceptions may be approved </w:t>
      </w:r>
      <w:r w:rsidR="00586299">
        <w:t xml:space="preserve">for example </w:t>
      </w:r>
      <w:r>
        <w:t xml:space="preserve">to </w:t>
      </w:r>
      <w:r w:rsidR="00586299">
        <w:t xml:space="preserve">honour previously arranged annual leave or </w:t>
      </w:r>
      <w:r>
        <w:t>avoid accumulations of leave or the need for leave to be carried forward into the next leave year.</w:t>
      </w:r>
    </w:p>
    <w:p w14:paraId="6405A465" w14:textId="77777777" w:rsidR="00997B64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</w:pPr>
    </w:p>
    <w:p w14:paraId="47809BC5" w14:textId="77777777" w:rsidR="00997B64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</w:pPr>
      <w:r>
        <w:t>d.</w:t>
      </w:r>
      <w:r>
        <w:tab/>
        <w:t>Part-time staff shall be granted leave on a pro-rata basis</w:t>
      </w:r>
      <w:r w:rsidR="00C643AA">
        <w:t>, calculated in hours rather than days</w:t>
      </w:r>
      <w:r>
        <w:t>.</w:t>
      </w:r>
      <w:r w:rsidR="00C643AA">
        <w:t xml:space="preserve">  The formula is as follows:</w:t>
      </w:r>
    </w:p>
    <w:p w14:paraId="2BE4AFAE" w14:textId="77777777" w:rsidR="00C643AA" w:rsidRDefault="00C64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</w:pPr>
    </w:p>
    <w:tbl>
      <w:tblPr>
        <w:tblStyle w:val="TableGrid"/>
        <w:tblW w:w="918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118"/>
      </w:tblGrid>
      <w:tr w:rsidR="00C643AA" w14:paraId="71DDF36E" w14:textId="77777777" w:rsidTr="00C643AA">
        <w:tc>
          <w:tcPr>
            <w:tcW w:w="2943" w:type="dxa"/>
          </w:tcPr>
          <w:p w14:paraId="7F347B40" w14:textId="77777777" w:rsidR="00C643AA" w:rsidRP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rPr>
                <w:u w:val="single"/>
              </w:rPr>
            </w:pPr>
            <w:r w:rsidRPr="00C643AA">
              <w:rPr>
                <w:u w:val="single"/>
              </w:rPr>
              <w:t>Number of hours worked</w:t>
            </w:r>
          </w:p>
        </w:tc>
        <w:tc>
          <w:tcPr>
            <w:tcW w:w="284" w:type="dxa"/>
          </w:tcPr>
          <w:p w14:paraId="1B694CAD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t>x</w:t>
            </w:r>
          </w:p>
        </w:tc>
        <w:tc>
          <w:tcPr>
            <w:tcW w:w="2551" w:type="dxa"/>
          </w:tcPr>
          <w:p w14:paraId="31AF373B" w14:textId="3A73F2B2" w:rsidR="00C643AA" w:rsidRDefault="0016786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t xml:space="preserve">Normal Full Time </w:t>
            </w:r>
            <w:r w:rsidR="00C643AA">
              <w:t>Hours in working day</w:t>
            </w:r>
          </w:p>
        </w:tc>
        <w:tc>
          <w:tcPr>
            <w:tcW w:w="284" w:type="dxa"/>
          </w:tcPr>
          <w:p w14:paraId="29E6969F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t>x</w:t>
            </w:r>
          </w:p>
        </w:tc>
        <w:tc>
          <w:tcPr>
            <w:tcW w:w="3118" w:type="dxa"/>
          </w:tcPr>
          <w:p w14:paraId="0E2D107B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t>Annual entitlement in days</w:t>
            </w:r>
          </w:p>
        </w:tc>
      </w:tr>
      <w:tr w:rsidR="00C643AA" w14:paraId="50DBE885" w14:textId="77777777" w:rsidTr="00C643AA">
        <w:tc>
          <w:tcPr>
            <w:tcW w:w="2943" w:type="dxa"/>
          </w:tcPr>
          <w:p w14:paraId="6AD0BE5E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t>Full time working hours</w:t>
            </w:r>
          </w:p>
        </w:tc>
        <w:tc>
          <w:tcPr>
            <w:tcW w:w="284" w:type="dxa"/>
          </w:tcPr>
          <w:p w14:paraId="6523FC48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</w:p>
        </w:tc>
        <w:tc>
          <w:tcPr>
            <w:tcW w:w="2551" w:type="dxa"/>
          </w:tcPr>
          <w:p w14:paraId="309231CB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</w:p>
        </w:tc>
        <w:tc>
          <w:tcPr>
            <w:tcW w:w="284" w:type="dxa"/>
          </w:tcPr>
          <w:p w14:paraId="738D1834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</w:p>
        </w:tc>
        <w:tc>
          <w:tcPr>
            <w:tcW w:w="3118" w:type="dxa"/>
          </w:tcPr>
          <w:p w14:paraId="06E66C78" w14:textId="77777777" w:rsidR="00C643AA" w:rsidRDefault="00C643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</w:p>
        </w:tc>
      </w:tr>
    </w:tbl>
    <w:p w14:paraId="1F74279C" w14:textId="77777777" w:rsidR="006415E8" w:rsidRDefault="006415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</w:pPr>
    </w:p>
    <w:p w14:paraId="462057B9" w14:textId="77777777" w:rsidR="006415E8" w:rsidRDefault="00C64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  <w:rPr>
          <w:i/>
        </w:rPr>
      </w:pPr>
      <w:r>
        <w:tab/>
      </w:r>
      <w:r w:rsidR="00FD4D5B">
        <w:rPr>
          <w:i/>
        </w:rPr>
        <w:t>Example:</w:t>
      </w:r>
      <w:r w:rsidR="00FD4D5B">
        <w:rPr>
          <w:i/>
        </w:rPr>
        <w:tab/>
        <w:t>Employee works 15 hours per week, where the full time equivalent annual leave entitlement is 24 days.</w:t>
      </w:r>
    </w:p>
    <w:p w14:paraId="61D23C0E" w14:textId="77777777" w:rsidR="00FD4D5B" w:rsidRDefault="00FD4D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  <w:rPr>
          <w:i/>
        </w:rPr>
      </w:pPr>
    </w:p>
    <w:p w14:paraId="5956DBD9" w14:textId="77777777" w:rsidR="00FD4D5B" w:rsidRPr="00FD4D5B" w:rsidRDefault="00FD4D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  <w:rPr>
          <w:i/>
        </w:rPr>
      </w:pPr>
      <w:r>
        <w:rPr>
          <w:i/>
        </w:rPr>
        <w:tab/>
      </w:r>
      <w:proofErr w:type="gramStart"/>
      <w:r>
        <w:rPr>
          <w:i/>
          <w:u w:val="single"/>
        </w:rPr>
        <w:t>15</w:t>
      </w:r>
      <w:r>
        <w:rPr>
          <w:i/>
        </w:rPr>
        <w:t xml:space="preserve">  x</w:t>
      </w:r>
      <w:proofErr w:type="gramEnd"/>
      <w:r>
        <w:rPr>
          <w:i/>
        </w:rPr>
        <w:tab/>
        <w:t xml:space="preserve"> 7.4</w:t>
      </w:r>
      <w:r>
        <w:rPr>
          <w:i/>
        </w:rPr>
        <w:tab/>
        <w:t>x 24</w:t>
      </w:r>
      <w:r>
        <w:rPr>
          <w:i/>
        </w:rPr>
        <w:tab/>
        <w:t>= 72 hours leave</w:t>
      </w:r>
    </w:p>
    <w:p w14:paraId="743CE9D9" w14:textId="77777777" w:rsidR="006415E8" w:rsidRDefault="00FD4D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</w:pPr>
      <w:r>
        <w:tab/>
        <w:t>37</w:t>
      </w:r>
    </w:p>
    <w:p w14:paraId="5FE417C0" w14:textId="77777777" w:rsidR="00997B64" w:rsidRDefault="00997B64">
      <w:pPr>
        <w:tabs>
          <w:tab w:val="left" w:pos="720"/>
        </w:tabs>
      </w:pPr>
    </w:p>
    <w:p w14:paraId="04C46716" w14:textId="37B063FA" w:rsidR="000C4688" w:rsidRPr="00455443" w:rsidRDefault="00C643AA" w:rsidP="00C643AA">
      <w:pPr>
        <w:pStyle w:val="Heading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  <w:rPr>
          <w:rFonts w:cs="Arial"/>
          <w:b w:val="0"/>
          <w:szCs w:val="24"/>
        </w:rPr>
      </w:pPr>
      <w:r w:rsidRPr="00C643AA">
        <w:rPr>
          <w:rFonts w:cs="Arial"/>
          <w:b w:val="0"/>
          <w:szCs w:val="24"/>
        </w:rPr>
        <w:t>e.</w:t>
      </w:r>
      <w:r w:rsidRPr="00C643AA">
        <w:rPr>
          <w:rFonts w:cs="Arial"/>
          <w:b w:val="0"/>
          <w:szCs w:val="24"/>
        </w:rPr>
        <w:tab/>
        <w:t>Leave must be taken by agreement with your headteacher or a delegated representative</w:t>
      </w:r>
      <w:r w:rsidR="00E30D6D">
        <w:rPr>
          <w:rFonts w:cs="Arial"/>
          <w:b w:val="0"/>
          <w:szCs w:val="24"/>
        </w:rPr>
        <w:t>.</w:t>
      </w:r>
      <w:r>
        <w:rPr>
          <w:rFonts w:cs="Arial"/>
          <w:b w:val="0"/>
          <w:color w:val="FF0000"/>
          <w:szCs w:val="24"/>
        </w:rPr>
        <w:t xml:space="preserve">  </w:t>
      </w:r>
      <w:r w:rsidRPr="00455443">
        <w:rPr>
          <w:rFonts w:cs="Arial"/>
          <w:b w:val="0"/>
          <w:szCs w:val="24"/>
        </w:rPr>
        <w:t>Individual contracts of employment state whether the approval of leave is subject to the requirements of the school and / or is expected to be outside of term time.  This will depend on the nature of the post.</w:t>
      </w:r>
    </w:p>
    <w:p w14:paraId="516E0E31" w14:textId="7DB37854" w:rsidR="00997B64" w:rsidRDefault="00997B64" w:rsidP="00C643AA">
      <w:pPr>
        <w:pStyle w:val="Heading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  <w:rPr>
          <w:sz w:val="32"/>
        </w:rPr>
      </w:pPr>
      <w:r w:rsidRPr="00C643AA">
        <w:rPr>
          <w:rFonts w:cs="Arial"/>
          <w:b w:val="0"/>
          <w:szCs w:val="24"/>
        </w:rPr>
        <w:br w:type="page"/>
      </w:r>
      <w:r>
        <w:rPr>
          <w:sz w:val="32"/>
        </w:rPr>
        <w:lastRenderedPageBreak/>
        <w:t>Pro-Rata Apportionment for New Support Employee Appointments (52 weeks)</w:t>
      </w:r>
    </w:p>
    <w:p w14:paraId="06234938" w14:textId="77777777" w:rsidR="00997B64" w:rsidRDefault="00997B64"/>
    <w:p w14:paraId="79E9FAA2" w14:textId="6461B17A" w:rsidR="00997B64" w:rsidRDefault="008446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  <w:r>
        <w:rPr>
          <w:rFonts w:cs="Arial"/>
        </w:rPr>
        <w:t>I</w:t>
      </w:r>
      <w:r w:rsidR="00997B64">
        <w:rPr>
          <w:rFonts w:cs="Arial"/>
        </w:rPr>
        <w:t>n their first year of employment employees accrue leave at the rate of 1/12</w:t>
      </w:r>
      <w:r w:rsidR="00997B64">
        <w:rPr>
          <w:rFonts w:cs="Arial"/>
          <w:vertAlign w:val="superscript"/>
        </w:rPr>
        <w:t>th</w:t>
      </w:r>
      <w:r w:rsidR="00997B64">
        <w:rPr>
          <w:rFonts w:cs="Arial"/>
        </w:rPr>
        <w:t xml:space="preserve"> of their annual leave, in advance, </w:t>
      </w:r>
      <w:r w:rsidR="00997B64" w:rsidRPr="00455443">
        <w:rPr>
          <w:rFonts w:cs="Arial"/>
        </w:rPr>
        <w:t>on the first day of each month</w:t>
      </w:r>
      <w:r w:rsidR="00997B64">
        <w:rPr>
          <w:rFonts w:cs="Arial"/>
        </w:rPr>
        <w:t xml:space="preserve"> of employment.</w:t>
      </w:r>
    </w:p>
    <w:p w14:paraId="20411FA6" w14:textId="77777777" w:rsidR="00997B64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</w:p>
    <w:p w14:paraId="7D67F473" w14:textId="29762127" w:rsidR="00997B64" w:rsidRDefault="004554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  <w:r>
        <w:rPr>
          <w:rFonts w:cs="Arial"/>
        </w:rPr>
        <w:t>A</w:t>
      </w:r>
      <w:r w:rsidR="00997B64">
        <w:rPr>
          <w:rFonts w:cs="Arial"/>
        </w:rPr>
        <w:t xml:space="preserve"> full time employee who started on 1</w:t>
      </w:r>
      <w:r w:rsidR="00997B64">
        <w:rPr>
          <w:rFonts w:cs="Arial"/>
          <w:vertAlign w:val="superscript"/>
        </w:rPr>
        <w:t>st</w:t>
      </w:r>
      <w:r w:rsidR="00997B64">
        <w:rPr>
          <w:rFonts w:cs="Arial"/>
        </w:rPr>
        <w:t xml:space="preserve"> April but left on the 16</w:t>
      </w:r>
      <w:r w:rsidR="00997B64">
        <w:rPr>
          <w:rFonts w:cs="Arial"/>
          <w:vertAlign w:val="superscript"/>
        </w:rPr>
        <w:t>th</w:t>
      </w:r>
      <w:r w:rsidR="00997B64">
        <w:rPr>
          <w:rFonts w:cs="Arial"/>
        </w:rPr>
        <w:t xml:space="preserve"> May should be credited with 46/365 of their leave entitlement, e.g. 4</w:t>
      </w:r>
      <w:r w:rsidR="00997B64">
        <w:rPr>
          <w:rFonts w:cs="Arial"/>
          <w:u w:val="single"/>
        </w:rPr>
        <w:t xml:space="preserve">6 x </w:t>
      </w:r>
      <w:proofErr w:type="gramStart"/>
      <w:r w:rsidR="00997B64">
        <w:rPr>
          <w:rFonts w:cs="Arial"/>
          <w:u w:val="single"/>
        </w:rPr>
        <w:t>23</w:t>
      </w:r>
      <w:r w:rsidR="00997B64">
        <w:rPr>
          <w:rFonts w:cs="Arial"/>
        </w:rPr>
        <w:t xml:space="preserve">  =</w:t>
      </w:r>
      <w:proofErr w:type="gramEnd"/>
      <w:r w:rsidR="00997B64">
        <w:rPr>
          <w:rFonts w:cs="Arial"/>
        </w:rPr>
        <w:t xml:space="preserve"> 2.90 days (round up to 3 days).</w:t>
      </w:r>
      <w:r w:rsidR="002239EA">
        <w:rPr>
          <w:rFonts w:cs="Arial"/>
        </w:rPr>
        <w:tab/>
      </w:r>
      <w:r w:rsidR="002239EA">
        <w:rPr>
          <w:rFonts w:cs="Arial"/>
        </w:rPr>
        <w:tab/>
      </w:r>
      <w:r w:rsidR="002239EA">
        <w:rPr>
          <w:rFonts w:cs="Arial"/>
        </w:rPr>
        <w:tab/>
      </w:r>
      <w:r w:rsidR="002239EA">
        <w:rPr>
          <w:rFonts w:cs="Arial"/>
        </w:rPr>
        <w:tab/>
      </w:r>
      <w:r w:rsidR="002239EA">
        <w:rPr>
          <w:rFonts w:cs="Arial"/>
        </w:rPr>
        <w:tab/>
      </w:r>
      <w:r w:rsidR="002239EA">
        <w:rPr>
          <w:rFonts w:cs="Arial"/>
        </w:rPr>
        <w:tab/>
      </w:r>
      <w:r w:rsidR="002239EA">
        <w:rPr>
          <w:rFonts w:cs="Arial"/>
        </w:rPr>
        <w:tab/>
      </w:r>
      <w:r w:rsidR="002239EA">
        <w:rPr>
          <w:rFonts w:cs="Arial"/>
        </w:rPr>
        <w:tab/>
        <w:t xml:space="preserve">          365</w:t>
      </w:r>
    </w:p>
    <w:p w14:paraId="1819D51E" w14:textId="77777777" w:rsidR="00997B64" w:rsidRDefault="00997B64">
      <w:pPr>
        <w:pStyle w:val="Header"/>
        <w:tabs>
          <w:tab w:val="clear" w:pos="4153"/>
          <w:tab w:val="clear" w:pos="830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3211A4C2" w14:textId="77777777" w:rsidR="00997B64" w:rsidRDefault="00997B64">
      <w:pPr>
        <w:pStyle w:val="Header"/>
        <w:tabs>
          <w:tab w:val="clear" w:pos="4153"/>
          <w:tab w:val="clear" w:pos="830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If a full time employee commences on 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they are entitled to 208/365 of their leave entitlement, e.g.  </w:t>
      </w:r>
      <w:r>
        <w:rPr>
          <w:rFonts w:ascii="Arial" w:hAnsi="Arial" w:cs="Arial"/>
          <w:u w:val="single"/>
        </w:rPr>
        <w:t xml:space="preserve">208 x </w:t>
      </w:r>
      <w:proofErr w:type="gramStart"/>
      <w:r>
        <w:rPr>
          <w:rFonts w:ascii="Arial" w:hAnsi="Arial" w:cs="Arial"/>
          <w:u w:val="single"/>
        </w:rPr>
        <w:t>23</w:t>
      </w:r>
      <w:r>
        <w:rPr>
          <w:rFonts w:ascii="Arial" w:hAnsi="Arial" w:cs="Arial"/>
        </w:rPr>
        <w:t xml:space="preserve">  =</w:t>
      </w:r>
      <w:proofErr w:type="gramEnd"/>
      <w:r>
        <w:rPr>
          <w:rFonts w:ascii="Arial" w:hAnsi="Arial" w:cs="Arial"/>
        </w:rPr>
        <w:t xml:space="preserve"> 13 days</w:t>
      </w:r>
    </w:p>
    <w:p w14:paraId="69EA7D8A" w14:textId="77777777" w:rsidR="00997B64" w:rsidRDefault="00997B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2239EA">
        <w:rPr>
          <w:rFonts w:cs="Arial"/>
        </w:rPr>
        <w:t xml:space="preserve">         </w:t>
      </w:r>
      <w:r>
        <w:rPr>
          <w:rFonts w:cs="Arial"/>
        </w:rPr>
        <w:t>365</w:t>
      </w:r>
    </w:p>
    <w:p w14:paraId="35D54A9D" w14:textId="5686E068" w:rsidR="00E83AEA" w:rsidRPr="00E83AEA" w:rsidRDefault="00997B64" w:rsidP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</w:pPr>
      <w:r>
        <w:rPr>
          <w:rFonts w:cs="Arial"/>
        </w:rPr>
        <w:t>If the employee is part time, then the above calculations need to be pro rata</w:t>
      </w:r>
      <w:r w:rsidRPr="00E83AEA">
        <w:rPr>
          <w:rFonts w:cs="Arial"/>
        </w:rPr>
        <w:t>.</w:t>
      </w:r>
      <w:r w:rsidR="00E83AEA" w:rsidRPr="00E83AEA">
        <w:rPr>
          <w:rFonts w:cs="Arial"/>
        </w:rPr>
        <w:t xml:space="preserve">  Taking the earlier example of an e</w:t>
      </w:r>
      <w:r w:rsidR="00E83AEA" w:rsidRPr="00E83AEA">
        <w:t>mployee who works 15 hours per week, where the full time equivalent annual leave entitlement is 24 days:</w:t>
      </w:r>
    </w:p>
    <w:p w14:paraId="529C40ED" w14:textId="77777777" w:rsidR="00E83AEA" w:rsidRDefault="00E83AEA" w:rsidP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  <w:rPr>
          <w:i/>
        </w:rPr>
      </w:pPr>
    </w:p>
    <w:p w14:paraId="4F73A069" w14:textId="12FF92D1" w:rsidR="00E83AEA" w:rsidRPr="00E83AEA" w:rsidRDefault="00E83AEA" w:rsidP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</w:pPr>
      <w:r>
        <w:rPr>
          <w:i/>
        </w:rPr>
        <w:tab/>
      </w:r>
      <w:proofErr w:type="gramStart"/>
      <w:r w:rsidRPr="00E83AEA">
        <w:rPr>
          <w:u w:val="single"/>
        </w:rPr>
        <w:t>15</w:t>
      </w:r>
      <w:r w:rsidRPr="00E83AEA">
        <w:t xml:space="preserve">  x</w:t>
      </w:r>
      <w:proofErr w:type="gramEnd"/>
      <w:r w:rsidRPr="00E83AEA">
        <w:tab/>
        <w:t xml:space="preserve"> 7.4</w:t>
      </w:r>
      <w:r w:rsidRPr="00E83AEA">
        <w:tab/>
        <w:t>x 24</w:t>
      </w:r>
      <w:r w:rsidRPr="00E83AEA">
        <w:tab/>
        <w:t>= 72 hours leave per year.</w:t>
      </w:r>
    </w:p>
    <w:p w14:paraId="21DDAD98" w14:textId="77777777" w:rsidR="00E83AEA" w:rsidRPr="00E83AEA" w:rsidRDefault="00E83AEA" w:rsidP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567" w:hanging="567"/>
      </w:pPr>
      <w:r w:rsidRPr="00E83AEA">
        <w:tab/>
        <w:t>37</w:t>
      </w:r>
    </w:p>
    <w:p w14:paraId="61CDF8F9" w14:textId="77777777" w:rsidR="00E83AEA" w:rsidRPr="00E83AEA" w:rsidRDefault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</w:p>
    <w:p w14:paraId="056621BB" w14:textId="7847215A" w:rsidR="00583556" w:rsidRDefault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  <w:r w:rsidRPr="00E83AEA">
        <w:rPr>
          <w:rFonts w:cs="Arial"/>
        </w:rPr>
        <w:t>The employee</w:t>
      </w:r>
      <w:r>
        <w:rPr>
          <w:rFonts w:cs="Arial"/>
        </w:rPr>
        <w:t xml:space="preserve"> commences their part-time contract on 1</w:t>
      </w:r>
      <w:r w:rsidRPr="00E83AEA">
        <w:rPr>
          <w:rFonts w:cs="Arial"/>
          <w:vertAlign w:val="superscript"/>
        </w:rPr>
        <w:t>st</w:t>
      </w:r>
      <w:r>
        <w:rPr>
          <w:rFonts w:cs="Arial"/>
        </w:rPr>
        <w:t xml:space="preserve"> February, and so is entitled to 59/365 of their leave entitlement for the remainder of the leave year.</w:t>
      </w:r>
    </w:p>
    <w:p w14:paraId="6A772804" w14:textId="5BD77C38" w:rsidR="00E83AEA" w:rsidRDefault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  <w:r>
        <w:rPr>
          <w:rFonts w:cs="Arial"/>
        </w:rPr>
        <w:tab/>
      </w:r>
    </w:p>
    <w:p w14:paraId="74C55A5D" w14:textId="0924DBFA" w:rsidR="00E83AEA" w:rsidRPr="00E83AEA" w:rsidRDefault="00E83A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cs="Arial"/>
        </w:rPr>
      </w:pPr>
      <w:r>
        <w:rPr>
          <w:rFonts w:cs="Arial"/>
        </w:rPr>
        <w:tab/>
      </w:r>
      <w:r w:rsidRPr="00E83AEA">
        <w:rPr>
          <w:rFonts w:cs="Arial"/>
          <w:u w:val="single"/>
        </w:rPr>
        <w:t>59 x 72</w:t>
      </w:r>
      <w:r>
        <w:rPr>
          <w:rFonts w:cs="Arial"/>
        </w:rPr>
        <w:tab/>
      </w:r>
      <w:proofErr w:type="gramStart"/>
      <w:r>
        <w:rPr>
          <w:rFonts w:cs="Arial"/>
        </w:rPr>
        <w:t>=  11.6</w:t>
      </w:r>
      <w:proofErr w:type="gramEnd"/>
      <w:r>
        <w:rPr>
          <w:rFonts w:cs="Arial"/>
        </w:rPr>
        <w:t xml:space="preserve"> (rounded up to 12) hours.</w:t>
      </w:r>
    </w:p>
    <w:p w14:paraId="30BC6DAE" w14:textId="33E2AF75" w:rsidR="00997B64" w:rsidRDefault="00E83AEA">
      <w:r>
        <w:rPr>
          <w:rFonts w:cs="Arial"/>
        </w:rPr>
        <w:tab/>
        <w:t xml:space="preserve">   365</w:t>
      </w:r>
    </w:p>
    <w:p w14:paraId="47C8872D" w14:textId="77777777" w:rsidR="00997B64" w:rsidRDefault="00997B64"/>
    <w:p w14:paraId="72F69BF4" w14:textId="77777777" w:rsidR="00997B64" w:rsidRDefault="00997B64"/>
    <w:p w14:paraId="79C9D6A0" w14:textId="77777777" w:rsidR="00997B64" w:rsidRDefault="00997B64"/>
    <w:p w14:paraId="4F3BA30C" w14:textId="77777777" w:rsidR="00997B64" w:rsidRDefault="00997B64"/>
    <w:p w14:paraId="3DEAE4FE" w14:textId="77777777" w:rsidR="00997B64" w:rsidRDefault="00997B64"/>
    <w:p w14:paraId="775FB1BF" w14:textId="77777777" w:rsidR="00997B64" w:rsidRDefault="00997B64"/>
    <w:p w14:paraId="2D32E58C" w14:textId="77777777" w:rsidR="00997B64" w:rsidRDefault="00997B64"/>
    <w:p w14:paraId="149CFAC3" w14:textId="77777777" w:rsidR="00997B64" w:rsidRDefault="00997B64"/>
    <w:p w14:paraId="654CC894" w14:textId="77777777" w:rsidR="00997B64" w:rsidRDefault="00997B64"/>
    <w:p w14:paraId="4DB7C961" w14:textId="77777777" w:rsidR="00997B64" w:rsidRDefault="00997B64"/>
    <w:p w14:paraId="1EB5727F" w14:textId="77777777" w:rsidR="00997B64" w:rsidRDefault="00997B64"/>
    <w:p w14:paraId="31F626F6" w14:textId="77777777" w:rsidR="00997B64" w:rsidRDefault="00997B64"/>
    <w:p w14:paraId="4B418761" w14:textId="77777777" w:rsidR="00997B64" w:rsidRDefault="00997B64"/>
    <w:p w14:paraId="2BF3702D" w14:textId="77777777" w:rsidR="00997B64" w:rsidRDefault="00997B64"/>
    <w:p w14:paraId="35234351" w14:textId="77777777" w:rsidR="00997B64" w:rsidRDefault="00997B64"/>
    <w:p w14:paraId="24DA5384" w14:textId="77777777" w:rsidR="00997B64" w:rsidRDefault="00997B64"/>
    <w:p w14:paraId="66C2C7AB" w14:textId="77777777" w:rsidR="00997B64" w:rsidRDefault="00997B64"/>
    <w:p w14:paraId="5972C75B" w14:textId="77777777" w:rsidR="00997B64" w:rsidRDefault="00997B64"/>
    <w:p w14:paraId="66762936" w14:textId="77777777" w:rsidR="00997B64" w:rsidRDefault="00997B64"/>
    <w:sectPr w:rsidR="00997B64" w:rsidSect="00455443">
      <w:footerReference w:type="even" r:id="rId8"/>
      <w:footerReference w:type="default" r:id="rId9"/>
      <w:pgSz w:w="11905" w:h="16838" w:code="9"/>
      <w:pgMar w:top="851" w:right="1168" w:bottom="851" w:left="1355" w:header="720" w:footer="72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59ABE" w14:textId="77777777" w:rsidR="008446C2" w:rsidRDefault="008446C2">
      <w:r>
        <w:separator/>
      </w:r>
    </w:p>
  </w:endnote>
  <w:endnote w:type="continuationSeparator" w:id="0">
    <w:p w14:paraId="3F4C2FDB" w14:textId="77777777" w:rsidR="008446C2" w:rsidRDefault="008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943" w14:textId="77777777" w:rsidR="008446C2" w:rsidRDefault="008446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20C2D" w14:textId="77777777" w:rsidR="008446C2" w:rsidRDefault="008446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9CAC" w14:textId="77777777" w:rsidR="00455443" w:rsidRDefault="00455443" w:rsidP="00455443">
    <w:pPr>
      <w:pStyle w:val="Footer"/>
      <w:framePr w:w="406" w:h="931" w:hRule="exact" w:wrap="around" w:vAnchor="text" w:hAnchor="margin" w:xAlign="center" w:y="59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E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B9B51B7" w14:textId="563B35EB" w:rsidR="00455443" w:rsidRPr="00410569" w:rsidRDefault="00455443" w:rsidP="00455443">
    <w:pPr>
      <w:pStyle w:val="Footer"/>
      <w:framePr w:wrap="around" w:vAnchor="text" w:hAnchor="page" w:x="841" w:y="344"/>
      <w:rPr>
        <w:sz w:val="18"/>
        <w:szCs w:val="18"/>
      </w:rPr>
    </w:pPr>
    <w:r>
      <w:t>(S210) Amended June 2015</w:t>
    </w:r>
  </w:p>
  <w:p w14:paraId="28E7439F" w14:textId="4E2C1AC2" w:rsidR="008446C2" w:rsidRPr="00455443" w:rsidRDefault="008446C2" w:rsidP="00455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F235B" w14:textId="77777777" w:rsidR="008446C2" w:rsidRDefault="008446C2">
      <w:r>
        <w:separator/>
      </w:r>
    </w:p>
  </w:footnote>
  <w:footnote w:type="continuationSeparator" w:id="0">
    <w:p w14:paraId="16E40607" w14:textId="77777777" w:rsidR="008446C2" w:rsidRDefault="0084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9E445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03802"/>
    <w:multiLevelType w:val="hybridMultilevel"/>
    <w:tmpl w:val="DD4C4C3C"/>
    <w:lvl w:ilvl="0" w:tplc="FDE4DA0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F5CAD"/>
    <w:multiLevelType w:val="singleLevel"/>
    <w:tmpl w:val="3B84AB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F7E3481"/>
    <w:multiLevelType w:val="hybridMultilevel"/>
    <w:tmpl w:val="FDA2DF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B7967"/>
    <w:multiLevelType w:val="singleLevel"/>
    <w:tmpl w:val="3EEC6062"/>
    <w:lvl w:ilvl="0">
      <w:start w:val="10"/>
      <w:numFmt w:val="lowerRoman"/>
      <w:lvlText w:val="%1)"/>
      <w:lvlJc w:val="left"/>
      <w:pPr>
        <w:tabs>
          <w:tab w:val="num" w:pos="2280"/>
        </w:tabs>
        <w:ind w:left="2280" w:hanging="720"/>
      </w:pPr>
      <w:rPr>
        <w:rFonts w:hint="default"/>
      </w:rPr>
    </w:lvl>
  </w:abstractNum>
  <w:abstractNum w:abstractNumId="5">
    <w:nsid w:val="5A1B012C"/>
    <w:multiLevelType w:val="hybridMultilevel"/>
    <w:tmpl w:val="00ECCECC"/>
    <w:lvl w:ilvl="0" w:tplc="0158D4C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A33A6A"/>
    <w:multiLevelType w:val="singleLevel"/>
    <w:tmpl w:val="6B9A7F0E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5CD4649"/>
    <w:multiLevelType w:val="singleLevel"/>
    <w:tmpl w:val="95FEAF02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>
    <w:nsid w:val="71B866D4"/>
    <w:multiLevelType w:val="hybridMultilevel"/>
    <w:tmpl w:val="22964E6C"/>
    <w:lvl w:ilvl="0" w:tplc="FDE4DA0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>
    <w:nsid w:val="7F762147"/>
    <w:multiLevelType w:val="hybridMultilevel"/>
    <w:tmpl w:val="D3BEB9EE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POw8kJgKgodH71L7kP2AAJHYZvjAznL4HI6Ti1Sp6LuiFxDDCe1hsaNdQG+bJwx0W7ijkRJOKx9PKM1HWlKLw==" w:salt="3jdYSD/Yo6T4vLsJxDSb5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EA"/>
    <w:rsid w:val="00016658"/>
    <w:rsid w:val="00062156"/>
    <w:rsid w:val="00065981"/>
    <w:rsid w:val="0008745D"/>
    <w:rsid w:val="00095289"/>
    <w:rsid w:val="000C1A05"/>
    <w:rsid w:val="000C4688"/>
    <w:rsid w:val="000F39CF"/>
    <w:rsid w:val="000F5670"/>
    <w:rsid w:val="00107F74"/>
    <w:rsid w:val="00112E95"/>
    <w:rsid w:val="00134B9A"/>
    <w:rsid w:val="001508DD"/>
    <w:rsid w:val="00151E33"/>
    <w:rsid w:val="00154D5C"/>
    <w:rsid w:val="00156EBF"/>
    <w:rsid w:val="00160EE6"/>
    <w:rsid w:val="0016786A"/>
    <w:rsid w:val="00173C54"/>
    <w:rsid w:val="00180F6E"/>
    <w:rsid w:val="001C725A"/>
    <w:rsid w:val="001F2683"/>
    <w:rsid w:val="00211AC8"/>
    <w:rsid w:val="00216167"/>
    <w:rsid w:val="00220A06"/>
    <w:rsid w:val="002239EA"/>
    <w:rsid w:val="00231BE2"/>
    <w:rsid w:val="002420A9"/>
    <w:rsid w:val="002D09AF"/>
    <w:rsid w:val="002D1F47"/>
    <w:rsid w:val="002F3BDB"/>
    <w:rsid w:val="00381D01"/>
    <w:rsid w:val="00393C8A"/>
    <w:rsid w:val="003B0A3A"/>
    <w:rsid w:val="003C0FC1"/>
    <w:rsid w:val="003F2635"/>
    <w:rsid w:val="00410B1E"/>
    <w:rsid w:val="0042547D"/>
    <w:rsid w:val="00455443"/>
    <w:rsid w:val="004B3941"/>
    <w:rsid w:val="004F017E"/>
    <w:rsid w:val="0051200E"/>
    <w:rsid w:val="00543073"/>
    <w:rsid w:val="005570E5"/>
    <w:rsid w:val="00583556"/>
    <w:rsid w:val="00585FA9"/>
    <w:rsid w:val="00586299"/>
    <w:rsid w:val="005A64C9"/>
    <w:rsid w:val="005B27C5"/>
    <w:rsid w:val="005C76FF"/>
    <w:rsid w:val="005D07E7"/>
    <w:rsid w:val="0060089A"/>
    <w:rsid w:val="006360B6"/>
    <w:rsid w:val="006415E8"/>
    <w:rsid w:val="00653A98"/>
    <w:rsid w:val="006546CD"/>
    <w:rsid w:val="0066537D"/>
    <w:rsid w:val="00674D78"/>
    <w:rsid w:val="00683EA8"/>
    <w:rsid w:val="0068488E"/>
    <w:rsid w:val="006A4B40"/>
    <w:rsid w:val="006B18F2"/>
    <w:rsid w:val="006B54F0"/>
    <w:rsid w:val="006B58BE"/>
    <w:rsid w:val="006B6F36"/>
    <w:rsid w:val="006D58B1"/>
    <w:rsid w:val="006F1270"/>
    <w:rsid w:val="00735C63"/>
    <w:rsid w:val="00785794"/>
    <w:rsid w:val="007B0A3A"/>
    <w:rsid w:val="007C695E"/>
    <w:rsid w:val="007D128E"/>
    <w:rsid w:val="007F023E"/>
    <w:rsid w:val="007F38CC"/>
    <w:rsid w:val="008446C2"/>
    <w:rsid w:val="00844A2F"/>
    <w:rsid w:val="00852A57"/>
    <w:rsid w:val="00861371"/>
    <w:rsid w:val="008B5DAD"/>
    <w:rsid w:val="008D08AF"/>
    <w:rsid w:val="008D12C0"/>
    <w:rsid w:val="008F6B9C"/>
    <w:rsid w:val="00913797"/>
    <w:rsid w:val="00943399"/>
    <w:rsid w:val="00981DF3"/>
    <w:rsid w:val="00997B64"/>
    <w:rsid w:val="00A027E0"/>
    <w:rsid w:val="00A2322C"/>
    <w:rsid w:val="00A57597"/>
    <w:rsid w:val="00A713D1"/>
    <w:rsid w:val="00AB3087"/>
    <w:rsid w:val="00AD09E0"/>
    <w:rsid w:val="00AD4C68"/>
    <w:rsid w:val="00B47F38"/>
    <w:rsid w:val="00B54733"/>
    <w:rsid w:val="00B771E3"/>
    <w:rsid w:val="00B77258"/>
    <w:rsid w:val="00BB510D"/>
    <w:rsid w:val="00C1008A"/>
    <w:rsid w:val="00C12373"/>
    <w:rsid w:val="00C2733F"/>
    <w:rsid w:val="00C32B00"/>
    <w:rsid w:val="00C5728F"/>
    <w:rsid w:val="00C6245E"/>
    <w:rsid w:val="00C643AA"/>
    <w:rsid w:val="00C774A8"/>
    <w:rsid w:val="00CB715F"/>
    <w:rsid w:val="00CE4FC6"/>
    <w:rsid w:val="00CF74AB"/>
    <w:rsid w:val="00D012C1"/>
    <w:rsid w:val="00D02C59"/>
    <w:rsid w:val="00D04C81"/>
    <w:rsid w:val="00D05733"/>
    <w:rsid w:val="00D22DC3"/>
    <w:rsid w:val="00D62C6C"/>
    <w:rsid w:val="00D7163C"/>
    <w:rsid w:val="00D81D97"/>
    <w:rsid w:val="00D97B05"/>
    <w:rsid w:val="00DA4551"/>
    <w:rsid w:val="00DC1A19"/>
    <w:rsid w:val="00E000DF"/>
    <w:rsid w:val="00E30D6D"/>
    <w:rsid w:val="00E37ADC"/>
    <w:rsid w:val="00E6167E"/>
    <w:rsid w:val="00E62F88"/>
    <w:rsid w:val="00E764FA"/>
    <w:rsid w:val="00E83AEA"/>
    <w:rsid w:val="00E87556"/>
    <w:rsid w:val="00E96F8C"/>
    <w:rsid w:val="00EB1A4E"/>
    <w:rsid w:val="00EC3750"/>
    <w:rsid w:val="00ED14D3"/>
    <w:rsid w:val="00EF57CB"/>
    <w:rsid w:val="00F04422"/>
    <w:rsid w:val="00F05284"/>
    <w:rsid w:val="00F40DA3"/>
    <w:rsid w:val="00FB09BC"/>
    <w:rsid w:val="00FB41C6"/>
    <w:rsid w:val="00FB6F4C"/>
    <w:rsid w:val="00FD4D5B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E3FC79"/>
  <w15:chartTrackingRefBased/>
  <w15:docId w15:val="{4E16C8F9-2D56-49F2-B56E-22714ECE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216167"/>
    <w:pPr>
      <w:widowControl w:val="0"/>
    </w:pPr>
    <w:rPr>
      <w:snapToGrid w:val="0"/>
      <w:color w:val="000000"/>
      <w:sz w:val="22"/>
      <w:szCs w:val="20"/>
      <w:lang w:val="en-US"/>
    </w:rPr>
  </w:style>
  <w:style w:type="paragraph" w:customStyle="1" w:styleId="BodySingle">
    <w:name w:val="Body Single"/>
    <w:rsid w:val="003F2635"/>
    <w:pPr>
      <w:widowControl w:val="0"/>
      <w:ind w:left="720" w:hanging="720"/>
    </w:pPr>
    <w:rPr>
      <w:rFonts w:ascii="Arial" w:hAnsi="Arial"/>
      <w:snapToGrid w:val="0"/>
      <w:color w:val="000000"/>
      <w:sz w:val="22"/>
      <w:lang w:val="en-US" w:eastAsia="en-US"/>
    </w:rPr>
  </w:style>
  <w:style w:type="table" w:styleId="TableGrid">
    <w:name w:val="Table Grid"/>
    <w:basedOn w:val="TableNormal"/>
    <w:rsid w:val="008B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5284"/>
    <w:rPr>
      <w:rFonts w:ascii="Tahoma" w:hAnsi="Tahoma" w:cs="Tahoma"/>
      <w:sz w:val="16"/>
      <w:szCs w:val="16"/>
    </w:rPr>
  </w:style>
  <w:style w:type="character" w:styleId="Hyperlink">
    <w:name w:val="Hyperlink"/>
    <w:rsid w:val="0042547D"/>
    <w:rPr>
      <w:color w:val="0000FF"/>
      <w:u w:val="single"/>
    </w:rPr>
  </w:style>
  <w:style w:type="character" w:styleId="CommentReference">
    <w:name w:val="annotation reference"/>
    <w:rsid w:val="006360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0B6"/>
    <w:rPr>
      <w:sz w:val="20"/>
      <w:szCs w:val="20"/>
    </w:rPr>
  </w:style>
  <w:style w:type="character" w:customStyle="1" w:styleId="CommentTextChar">
    <w:name w:val="Comment Text Char"/>
    <w:link w:val="CommentText"/>
    <w:rsid w:val="006360B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60B6"/>
    <w:rPr>
      <w:b/>
      <w:bCs/>
    </w:rPr>
  </w:style>
  <w:style w:type="character" w:customStyle="1" w:styleId="CommentSubjectChar">
    <w:name w:val="Comment Subject Char"/>
    <w:link w:val="CommentSubject"/>
    <w:rsid w:val="006360B6"/>
    <w:rPr>
      <w:rFonts w:ascii="Arial" w:hAnsi="Arial"/>
      <w:b/>
      <w:bCs/>
      <w:lang w:eastAsia="en-US"/>
    </w:rPr>
  </w:style>
  <w:style w:type="paragraph" w:styleId="BodyTextIndent">
    <w:name w:val="Body Text Indent"/>
    <w:basedOn w:val="Normal"/>
    <w:link w:val="BodyTextIndentChar"/>
    <w:rsid w:val="00AD09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09E0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6415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488E"/>
    <w:pPr>
      <w:tabs>
        <w:tab w:val="left" w:pos="600"/>
        <w:tab w:val="left" w:pos="1200"/>
        <w:tab w:val="left" w:pos="1800"/>
        <w:tab w:val="left" w:pos="2400"/>
        <w:tab w:val="left" w:pos="4440"/>
        <w:tab w:val="left" w:pos="7080"/>
        <w:tab w:val="left" w:pos="8280"/>
      </w:tabs>
      <w:ind w:left="720"/>
      <w:contextualSpacing/>
    </w:pPr>
    <w:rPr>
      <w:rFonts w:ascii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544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1999/2277/pdfs/uksi_19992277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4205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    ANNUAL LEAVE AND TERM TIME WORKING ARRANGEMENTS</vt:lpstr>
    </vt:vector>
  </TitlesOfParts>
  <Company>Southampton City Council</Company>
  <LinksUpToDate>false</LinksUpToDate>
  <CharactersWithSpaces>5001</CharactersWithSpaces>
  <SharedDoc>false</SharedDoc>
  <HLinks>
    <vt:vector size="6" baseType="variant"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http://www.legislation.gov.uk/uksi/1999/2277/pdfs/uksi_19992277_en.pdf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    ANNUAL LEAVE AND TERM TIME WORKING ARRANGEMENTS</dc:title>
  <dc:subject/>
  <cp:keywords/>
  <dc:description/>
  <cp:revision>4</cp:revision>
  <cp:lastPrinted>2015-04-08T10:41:00Z</cp:lastPrinted>
  <dcterms:created xsi:type="dcterms:W3CDTF">2015-05-19T20:57:00Z</dcterms:created>
  <dcterms:modified xsi:type="dcterms:W3CDTF">2015-05-21T10:16:00Z</dcterms:modified>
</cp:coreProperties>
</file>