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1F" w:rsidRDefault="003F2CBA" w:rsidP="003E1B1F">
      <w:pPr>
        <w:pStyle w:val="Default"/>
        <w:spacing w:after="350" w:line="303" w:lineRule="atLeast"/>
        <w:ind w:firstLine="720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412115</wp:posOffset>
                </wp:positionV>
                <wp:extent cx="6067425" cy="459105"/>
                <wp:effectExtent l="0" t="0" r="2857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59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F" w:rsidRPr="003F2CBA" w:rsidRDefault="003E1B1F" w:rsidP="003E1B1F">
                            <w:pPr>
                              <w:ind w:left="567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F2CBA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>SCC Pay and Grade Structure with Job Evaluation Score Ranges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65pt;margin-top:32.45pt;width:477.75pt;height:36.1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" fillcolor="black [3213]">
                <v:textbox style="mso-fit-shape-to-text:t">
                  <w:txbxContent>
                    <w:p w:rsidR="003E1B1F" w:rsidRPr="003F2CBA" w:rsidRDefault="003E1B1F" w:rsidP="003E1B1F">
                      <w:pPr>
                        <w:ind w:left="567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F2CBA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>SCC Pay and Grade Structure with Job Evaluation Score Ranges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1B1F" w:rsidRDefault="003E1B1F" w:rsidP="003E1B1F">
      <w:pPr>
        <w:pStyle w:val="Default"/>
        <w:spacing w:after="350" w:line="303" w:lineRule="atLeast"/>
        <w:ind w:firstLine="720"/>
        <w:rPr>
          <w:b/>
          <w:bCs/>
          <w:sz w:val="23"/>
          <w:szCs w:val="23"/>
        </w:rPr>
      </w:pPr>
    </w:p>
    <w:p w:rsidR="00A37E93" w:rsidRPr="00602071" w:rsidRDefault="000515DF" w:rsidP="00602071">
      <w:pPr>
        <w:pStyle w:val="Default"/>
        <w:spacing w:after="350" w:line="303" w:lineRule="atLeast"/>
        <w:ind w:left="567"/>
      </w:pPr>
      <w:r w:rsidRPr="00602071">
        <w:rPr>
          <w:bCs/>
          <w:sz w:val="23"/>
          <w:szCs w:val="23"/>
        </w:rPr>
        <w:t xml:space="preserve">Southampton grades are specific to the City Council and differ from national local government grades. </w:t>
      </w:r>
      <w:r w:rsidR="007676C4" w:rsidRPr="00602071">
        <w:rPr>
          <w:bCs/>
          <w:sz w:val="23"/>
          <w:szCs w:val="23"/>
        </w:rPr>
        <w:t xml:space="preserve"> The Council, by negotiation with the recognised trade unions, decides locally which points fall into which grade within the overall pay and grading structure.</w:t>
      </w:r>
      <w:r w:rsidR="007676C4" w:rsidRPr="00602071">
        <w:rPr>
          <w:bCs/>
          <w:sz w:val="23"/>
          <w:szCs w:val="23"/>
        </w:rPr>
        <w:br/>
      </w:r>
      <w:r w:rsidR="00386F4F" w:rsidRPr="00602071">
        <w:rPr>
          <w:bCs/>
          <w:sz w:val="23"/>
          <w:szCs w:val="23"/>
        </w:rPr>
        <w:br/>
      </w:r>
      <w:r w:rsidR="00E5380D" w:rsidRPr="00602071">
        <w:rPr>
          <w:bCs/>
          <w:sz w:val="23"/>
          <w:szCs w:val="23"/>
        </w:rPr>
        <w:t>The grades of SCC posts are established using the Na</w:t>
      </w:r>
      <w:r w:rsidR="00A62376">
        <w:rPr>
          <w:bCs/>
          <w:sz w:val="23"/>
          <w:szCs w:val="23"/>
        </w:rPr>
        <w:t>tional Joint Council (NJC) Job Evaluation S</w:t>
      </w:r>
      <w:bookmarkStart w:id="0" w:name="_GoBack"/>
      <w:bookmarkEnd w:id="0"/>
      <w:r w:rsidR="00E5380D" w:rsidRPr="00602071">
        <w:rPr>
          <w:bCs/>
          <w:sz w:val="23"/>
          <w:szCs w:val="23"/>
        </w:rPr>
        <w:t xml:space="preserve">cheme scoring system. </w:t>
      </w:r>
    </w:p>
    <w:tbl>
      <w:tblPr>
        <w:tblpPr w:leftFromText="180" w:rightFromText="180" w:vertAnchor="text" w:horzAnchor="margin" w:tblpXSpec="center" w:tblpY="256"/>
        <w:tblW w:w="6086" w:type="dxa"/>
        <w:tblLayout w:type="fixed"/>
        <w:tblLook w:val="0000" w:firstRow="0" w:lastRow="0" w:firstColumn="0" w:lastColumn="0" w:noHBand="0" w:noVBand="0"/>
      </w:tblPr>
      <w:tblGrid>
        <w:gridCol w:w="940"/>
        <w:gridCol w:w="951"/>
        <w:gridCol w:w="951"/>
        <w:gridCol w:w="3244"/>
      </w:tblGrid>
      <w:tr w:rsidR="003E1B1F" w:rsidTr="003E1B1F">
        <w:trPr>
          <w:trHeight w:val="251"/>
        </w:trPr>
        <w:tc>
          <w:tcPr>
            <w:tcW w:w="940" w:type="dxa"/>
            <w:tcBorders>
              <w:top w:val="single" w:sz="8" w:space="0" w:color="0E1318"/>
              <w:left w:val="single" w:sz="8" w:space="0" w:color="000102"/>
              <w:bottom w:val="single" w:sz="8" w:space="0" w:color="0E1318"/>
              <w:right w:val="single" w:sz="8" w:space="0" w:color="000000"/>
            </w:tcBorders>
            <w:shd w:val="clear" w:color="auto" w:fill="9ACDFF"/>
            <w:vAlign w:val="center"/>
          </w:tcPr>
          <w:p w:rsidR="003E1B1F" w:rsidRDefault="003E1B1F" w:rsidP="007A1A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Grade </w:t>
            </w:r>
          </w:p>
        </w:tc>
        <w:tc>
          <w:tcPr>
            <w:tcW w:w="1902" w:type="dxa"/>
            <w:gridSpan w:val="2"/>
            <w:tcBorders>
              <w:top w:val="single" w:sz="8" w:space="0" w:color="0E1318"/>
              <w:left w:val="single" w:sz="8" w:space="0" w:color="000000"/>
              <w:bottom w:val="single" w:sz="8" w:space="0" w:color="0E1318"/>
              <w:right w:val="single" w:sz="8" w:space="0" w:color="000000"/>
            </w:tcBorders>
            <w:shd w:val="clear" w:color="auto" w:fill="9ACDFF"/>
            <w:vAlign w:val="center"/>
          </w:tcPr>
          <w:p w:rsidR="003E1B1F" w:rsidRDefault="003E1B1F" w:rsidP="007A1A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JE Score </w:t>
            </w:r>
          </w:p>
        </w:tc>
        <w:tc>
          <w:tcPr>
            <w:tcW w:w="3244" w:type="dxa"/>
            <w:tcBorders>
              <w:top w:val="single" w:sz="8" w:space="0" w:color="0E1318"/>
              <w:left w:val="single" w:sz="8" w:space="0" w:color="000000"/>
              <w:bottom w:val="single" w:sz="8" w:space="0" w:color="0E1318"/>
              <w:right w:val="single" w:sz="8" w:space="0" w:color="000000"/>
            </w:tcBorders>
            <w:shd w:val="clear" w:color="auto" w:fill="9ACDFF"/>
            <w:vAlign w:val="center"/>
          </w:tcPr>
          <w:p w:rsidR="003E1B1F" w:rsidRPr="003E1B1F" w:rsidRDefault="003E1B1F" w:rsidP="007A1A6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B1F">
              <w:rPr>
                <w:b/>
                <w:sz w:val="23"/>
                <w:szCs w:val="23"/>
              </w:rPr>
              <w:t>Spinal Column Point Range</w:t>
            </w:r>
            <w:r w:rsidR="00602071">
              <w:rPr>
                <w:b/>
                <w:sz w:val="23"/>
                <w:szCs w:val="23"/>
              </w:rPr>
              <w:t>*</w:t>
            </w:r>
          </w:p>
        </w:tc>
      </w:tr>
      <w:tr w:rsidR="003E1B1F" w:rsidTr="003E1B1F">
        <w:trPr>
          <w:trHeight w:val="141"/>
        </w:trPr>
        <w:tc>
          <w:tcPr>
            <w:tcW w:w="940" w:type="dxa"/>
            <w:tcBorders>
              <w:top w:val="single" w:sz="8" w:space="0" w:color="0E1318"/>
              <w:left w:val="single" w:sz="8" w:space="0" w:color="000102"/>
              <w:bottom w:val="single" w:sz="8" w:space="0" w:color="000000"/>
              <w:right w:val="single" w:sz="8" w:space="0" w:color="000000"/>
            </w:tcBorders>
          </w:tcPr>
          <w:p w:rsidR="003E1B1F" w:rsidRDefault="003E1B1F" w:rsidP="007A1A6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51" w:type="dxa"/>
            <w:tcBorders>
              <w:top w:val="single" w:sz="8" w:space="0" w:color="0E131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7A1A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From</w:t>
            </w:r>
          </w:p>
        </w:tc>
        <w:tc>
          <w:tcPr>
            <w:tcW w:w="951" w:type="dxa"/>
            <w:tcBorders>
              <w:top w:val="single" w:sz="8" w:space="0" w:color="0E131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B1F" w:rsidRPr="00E5380D" w:rsidRDefault="003E1B1F" w:rsidP="007A1A6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5380D">
              <w:rPr>
                <w:b/>
                <w:sz w:val="23"/>
                <w:szCs w:val="23"/>
              </w:rPr>
              <w:t>To</w:t>
            </w:r>
          </w:p>
        </w:tc>
        <w:tc>
          <w:tcPr>
            <w:tcW w:w="3244" w:type="dxa"/>
            <w:tcBorders>
              <w:top w:val="single" w:sz="8" w:space="0" w:color="0E131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7A1A6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000000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1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268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6-7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2 </w:t>
            </w:r>
          </w:p>
        </w:tc>
        <w:tc>
          <w:tcPr>
            <w:tcW w:w="951" w:type="dxa"/>
            <w:tcBorders>
              <w:top w:val="single" w:sz="8" w:space="0" w:color="C1C1C1"/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269</w:t>
            </w:r>
          </w:p>
        </w:tc>
        <w:tc>
          <w:tcPr>
            <w:tcW w:w="951" w:type="dxa"/>
            <w:tcBorders>
              <w:top w:val="single" w:sz="8" w:space="0" w:color="C1C1C1"/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293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8-9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3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294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330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10-13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4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331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364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10-17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5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365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406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14-21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6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407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450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18-25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7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451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483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24-31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8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484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520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29-36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9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521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559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34-41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10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560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614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39-46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11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615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675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46-53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12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676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729</w:t>
            </w: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50-57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 xml:space="preserve">13 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730</w:t>
            </w:r>
          </w:p>
        </w:tc>
        <w:tc>
          <w:tcPr>
            <w:tcW w:w="9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C1C1C1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  <w:r>
              <w:rPr>
                <w:rFonts w:ascii="CUXDZ R+ Helvetica" w:hAnsi="CUXDZ R+ Helvetica" w:cs="CUXDZ R+ Helvetica"/>
                <w:sz w:val="23"/>
                <w:szCs w:val="23"/>
              </w:rPr>
              <w:t>55-62</w:t>
            </w:r>
          </w:p>
        </w:tc>
      </w:tr>
      <w:tr w:rsidR="003E1B1F" w:rsidTr="003E1B1F">
        <w:trPr>
          <w:trHeight w:val="135"/>
        </w:trPr>
        <w:tc>
          <w:tcPr>
            <w:tcW w:w="940" w:type="dxa"/>
            <w:tcBorders>
              <w:top w:val="single" w:sz="8" w:space="0" w:color="C1C1C1"/>
              <w:left w:val="single" w:sz="8" w:space="0" w:color="000102"/>
              <w:bottom w:val="single" w:sz="8" w:space="0" w:color="000000"/>
              <w:right w:val="single" w:sz="8" w:space="0" w:color="000000"/>
            </w:tcBorders>
          </w:tcPr>
          <w:p w:rsidR="003E1B1F" w:rsidRDefault="003E1B1F" w:rsidP="00E5380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1F" w:rsidRDefault="003E1B1F" w:rsidP="00E5380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1F" w:rsidRDefault="003E1B1F" w:rsidP="00E5380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44" w:type="dxa"/>
            <w:tcBorders>
              <w:top w:val="single" w:sz="8" w:space="0" w:color="C1C1C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B1F" w:rsidRDefault="003E1B1F" w:rsidP="00E5380D">
            <w:pPr>
              <w:pStyle w:val="Default"/>
              <w:jc w:val="center"/>
              <w:rPr>
                <w:rFonts w:ascii="CUXDZ R+ Helvetica" w:hAnsi="CUXDZ R+ Helvetica" w:cs="CUXDZ R+ Helvetica"/>
                <w:sz w:val="23"/>
                <w:szCs w:val="23"/>
              </w:rPr>
            </w:pPr>
          </w:p>
        </w:tc>
      </w:tr>
    </w:tbl>
    <w:p w:rsidR="00E5380D" w:rsidRDefault="00E5380D" w:rsidP="00E5380D">
      <w:pPr>
        <w:pStyle w:val="Default"/>
        <w:spacing w:after="350" w:line="303" w:lineRule="atLeast"/>
      </w:pPr>
    </w:p>
    <w:p w:rsidR="007A1A6C" w:rsidRDefault="007A1A6C" w:rsidP="007A1A6C">
      <w:pPr>
        <w:pStyle w:val="Default"/>
        <w:spacing w:after="350" w:line="303" w:lineRule="atLeast"/>
      </w:pPr>
    </w:p>
    <w:p w:rsidR="00602071" w:rsidRDefault="00602071" w:rsidP="007A1A6C">
      <w:pPr>
        <w:pStyle w:val="Default"/>
        <w:spacing w:after="350" w:line="303" w:lineRule="atLeast"/>
      </w:pPr>
    </w:p>
    <w:p w:rsidR="00602071" w:rsidRDefault="00602071" w:rsidP="007A1A6C">
      <w:pPr>
        <w:pStyle w:val="Default"/>
        <w:spacing w:after="350" w:line="303" w:lineRule="atLeast"/>
      </w:pPr>
    </w:p>
    <w:p w:rsidR="00602071" w:rsidRDefault="00602071" w:rsidP="007A1A6C">
      <w:pPr>
        <w:pStyle w:val="Default"/>
        <w:spacing w:after="350" w:line="303" w:lineRule="atLeast"/>
      </w:pPr>
    </w:p>
    <w:p w:rsidR="00602071" w:rsidRDefault="00602071" w:rsidP="007A1A6C">
      <w:pPr>
        <w:pStyle w:val="Default"/>
        <w:spacing w:after="350" w:line="303" w:lineRule="atLeast"/>
      </w:pPr>
    </w:p>
    <w:p w:rsidR="00602071" w:rsidRDefault="00602071" w:rsidP="007A1A6C">
      <w:pPr>
        <w:pStyle w:val="Default"/>
        <w:spacing w:after="350" w:line="303" w:lineRule="atLeast"/>
      </w:pPr>
    </w:p>
    <w:p w:rsidR="00602071" w:rsidRDefault="00602071" w:rsidP="007A1A6C">
      <w:pPr>
        <w:pStyle w:val="Default"/>
        <w:spacing w:after="350" w:line="303" w:lineRule="atLeast"/>
      </w:pPr>
      <w:r>
        <w:br/>
      </w:r>
      <w:r>
        <w:br/>
      </w:r>
    </w:p>
    <w:p w:rsidR="00602071" w:rsidRDefault="00602071" w:rsidP="00602071">
      <w:pPr>
        <w:pStyle w:val="Default"/>
        <w:tabs>
          <w:tab w:val="left" w:pos="993"/>
        </w:tabs>
        <w:spacing w:after="350" w:line="303" w:lineRule="atLeast"/>
        <w:ind w:left="993" w:hanging="426"/>
      </w:pPr>
      <w:r w:rsidRPr="00602071">
        <w:t xml:space="preserve">* </w:t>
      </w:r>
      <w:r w:rsidRPr="00602071">
        <w:tab/>
      </w:r>
      <w:r w:rsidRPr="00602071">
        <w:rPr>
          <w:bCs/>
          <w:sz w:val="23"/>
          <w:szCs w:val="23"/>
        </w:rPr>
        <w:t xml:space="preserve">Each grade in the SCC Pay Scale has been reduced to a maximum of 8 spinal column points with effect from 1 June 2015. </w:t>
      </w:r>
      <w:r>
        <w:rPr>
          <w:bCs/>
          <w:sz w:val="23"/>
          <w:szCs w:val="23"/>
        </w:rPr>
        <w:t xml:space="preserve"> </w:t>
      </w:r>
      <w:r w:rsidRPr="00602071">
        <w:rPr>
          <w:bCs/>
          <w:sz w:val="23"/>
          <w:szCs w:val="23"/>
        </w:rPr>
        <w:t>To reduce or eliminate grade overlap, one more point will be removed from the bottom of grades 5 to 13 and the same again in April 2016, to leave a maximum of 6 spinal column points in each grade</w:t>
      </w:r>
      <w:r>
        <w:rPr>
          <w:bCs/>
          <w:sz w:val="23"/>
          <w:szCs w:val="23"/>
        </w:rPr>
        <w:t xml:space="preserve">.  </w:t>
      </w:r>
    </w:p>
    <w:sectPr w:rsidR="00602071" w:rsidSect="00602071">
      <w:pgSz w:w="11907" w:h="16840" w:code="9"/>
      <w:pgMar w:top="0" w:right="1701" w:bottom="1418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1F" w:rsidRDefault="003E1B1F" w:rsidP="003E1B1F">
      <w:r>
        <w:separator/>
      </w:r>
    </w:p>
  </w:endnote>
  <w:endnote w:type="continuationSeparator" w:id="0">
    <w:p w:rsidR="003E1B1F" w:rsidRDefault="003E1B1F" w:rsidP="003E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VFDZ R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UXDZ R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1F" w:rsidRDefault="003E1B1F" w:rsidP="003E1B1F">
      <w:r>
        <w:separator/>
      </w:r>
    </w:p>
  </w:footnote>
  <w:footnote w:type="continuationSeparator" w:id="0">
    <w:p w:rsidR="003E1B1F" w:rsidRDefault="003E1B1F" w:rsidP="003E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9B"/>
    <w:rsid w:val="000515DF"/>
    <w:rsid w:val="00386F4F"/>
    <w:rsid w:val="003E1B1F"/>
    <w:rsid w:val="003F2CBA"/>
    <w:rsid w:val="00602071"/>
    <w:rsid w:val="00674D9B"/>
    <w:rsid w:val="007676C4"/>
    <w:rsid w:val="00795FC5"/>
    <w:rsid w:val="007A1A6C"/>
    <w:rsid w:val="0084579A"/>
    <w:rsid w:val="009B7199"/>
    <w:rsid w:val="00A37E93"/>
    <w:rsid w:val="00A62376"/>
    <w:rsid w:val="00E0547C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EBCC08-51C9-46DC-A0A2-045A9A96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LVFDZ R+ Helvetica" w:hAnsi="LVFDZ R+ Helvetica" w:cs="LVFDZ R+ 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B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B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824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Pay and Grade Structure with Progression Zones &amp; scores.xls</vt:lpstr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Pay and Grade Structure with Progression Zones &amp; scores.xls</dc:title>
  <dc:subject/>
  <cp:keywords/>
  <dc:description/>
  <cp:revision>4</cp:revision>
  <dcterms:created xsi:type="dcterms:W3CDTF">2015-07-06T12:31:00Z</dcterms:created>
  <dcterms:modified xsi:type="dcterms:W3CDTF">2015-08-06T09:56:00Z</dcterms:modified>
</cp:coreProperties>
</file>