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6691" w14:textId="652C8BF4" w:rsidR="009272DD" w:rsidRPr="00D50B7F" w:rsidRDefault="00D50B7F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6D1624" wp14:editId="5009F765">
            <wp:simplePos x="0" y="0"/>
            <wp:positionH relativeFrom="margin">
              <wp:align>left</wp:align>
            </wp:positionH>
            <wp:positionV relativeFrom="paragraph">
              <wp:posOffset>-600075</wp:posOffset>
            </wp:positionV>
            <wp:extent cx="9277200" cy="1098000"/>
            <wp:effectExtent l="0" t="0" r="63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997"/>
                    <a:stretch/>
                  </pic:blipFill>
                  <pic:spPr bwMode="auto">
                    <a:xfrm>
                      <a:off x="0" y="0"/>
                      <a:ext cx="9277200" cy="109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           </w:t>
      </w:r>
      <w:r w:rsidRPr="00D50B7F">
        <w:rPr>
          <w:color w:val="FFFFFF" w:themeColor="background1"/>
          <w:sz w:val="28"/>
          <w:szCs w:val="28"/>
        </w:rPr>
        <w:t xml:space="preserve">SCC </w:t>
      </w:r>
      <w:r w:rsidR="00FC11EA">
        <w:rPr>
          <w:color w:val="FFFFFF" w:themeColor="background1"/>
          <w:sz w:val="28"/>
          <w:szCs w:val="28"/>
        </w:rPr>
        <w:t xml:space="preserve">Developments - </w:t>
      </w:r>
      <w:r w:rsidR="0077794C">
        <w:rPr>
          <w:color w:val="FFFFFF" w:themeColor="background1"/>
          <w:sz w:val="28"/>
          <w:szCs w:val="28"/>
        </w:rPr>
        <w:t xml:space="preserve">general </w:t>
      </w:r>
      <w:r>
        <w:rPr>
          <w:color w:val="FFFFFF" w:themeColor="background1"/>
          <w:sz w:val="28"/>
          <w:szCs w:val="28"/>
        </w:rPr>
        <w:t xml:space="preserve">requirements for </w:t>
      </w:r>
      <w:r w:rsidRPr="00D50B7F">
        <w:rPr>
          <w:color w:val="FFFFFF" w:themeColor="background1"/>
          <w:sz w:val="28"/>
          <w:szCs w:val="28"/>
        </w:rPr>
        <w:t xml:space="preserve">futureproofed approach </w:t>
      </w:r>
    </w:p>
    <w:p w14:paraId="38C08079" w14:textId="27161FF8" w:rsidR="00974B47" w:rsidRPr="0055357B" w:rsidRDefault="00974B47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54"/>
        <w:gridCol w:w="3837"/>
        <w:gridCol w:w="4252"/>
        <w:gridCol w:w="4253"/>
      </w:tblGrid>
      <w:tr w:rsidR="00316108" w:rsidRPr="00974B47" w14:paraId="5918E39E" w14:textId="7A5F5537" w:rsidTr="00005098">
        <w:tc>
          <w:tcPr>
            <w:tcW w:w="2254" w:type="dxa"/>
            <w:shd w:val="clear" w:color="auto" w:fill="70AD47" w:themeFill="accent6"/>
          </w:tcPr>
          <w:p w14:paraId="10C6C42F" w14:textId="05799A7B" w:rsidR="00316108" w:rsidRPr="00974B47" w:rsidRDefault="00316108">
            <w:pPr>
              <w:rPr>
                <w:b/>
                <w:bCs/>
              </w:rPr>
            </w:pPr>
            <w:r w:rsidRPr="00974B47">
              <w:rPr>
                <w:b/>
                <w:bCs/>
              </w:rPr>
              <w:t xml:space="preserve">Element </w:t>
            </w:r>
          </w:p>
        </w:tc>
        <w:tc>
          <w:tcPr>
            <w:tcW w:w="3837" w:type="dxa"/>
            <w:shd w:val="clear" w:color="auto" w:fill="70AD47" w:themeFill="accent6"/>
          </w:tcPr>
          <w:p w14:paraId="3460F9AB" w14:textId="20602CA1" w:rsidR="00316108" w:rsidRPr="00974B47" w:rsidRDefault="00316108">
            <w:pPr>
              <w:rPr>
                <w:b/>
                <w:bCs/>
              </w:rPr>
            </w:pPr>
            <w:r w:rsidRPr="00974B47">
              <w:rPr>
                <w:b/>
                <w:bCs/>
              </w:rPr>
              <w:t xml:space="preserve">Comment </w:t>
            </w:r>
          </w:p>
        </w:tc>
        <w:tc>
          <w:tcPr>
            <w:tcW w:w="4252" w:type="dxa"/>
            <w:shd w:val="clear" w:color="auto" w:fill="70AD47" w:themeFill="accent6"/>
          </w:tcPr>
          <w:p w14:paraId="0756F09D" w14:textId="1F18230D" w:rsidR="00316108" w:rsidRPr="00974B47" w:rsidRDefault="00316108">
            <w:pPr>
              <w:rPr>
                <w:b/>
                <w:bCs/>
              </w:rPr>
            </w:pPr>
            <w:r w:rsidRPr="00974B47">
              <w:rPr>
                <w:b/>
                <w:bCs/>
              </w:rPr>
              <w:t>Rationale</w:t>
            </w:r>
          </w:p>
        </w:tc>
        <w:tc>
          <w:tcPr>
            <w:tcW w:w="4253" w:type="dxa"/>
            <w:shd w:val="clear" w:color="auto" w:fill="70AD47" w:themeFill="accent6"/>
          </w:tcPr>
          <w:p w14:paraId="36552AF3" w14:textId="51AA1839" w:rsidR="00316108" w:rsidRPr="00974B47" w:rsidRDefault="0031610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Developer response </w:t>
            </w:r>
          </w:p>
        </w:tc>
      </w:tr>
      <w:tr w:rsidR="00316108" w14:paraId="1C288DE5" w14:textId="53BDBF80" w:rsidTr="00005098">
        <w:tc>
          <w:tcPr>
            <w:tcW w:w="2254" w:type="dxa"/>
            <w:shd w:val="clear" w:color="auto" w:fill="E2EFD9" w:themeFill="accent6" w:themeFillTint="33"/>
          </w:tcPr>
          <w:p w14:paraId="2AE0FADE" w14:textId="5994AE9E" w:rsidR="00316108" w:rsidRDefault="00316108">
            <w:r>
              <w:t xml:space="preserve">Window size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1404E1A8" w14:textId="50C42B6F" w:rsidR="00316108" w:rsidRDefault="00316108">
            <w:r>
              <w:t xml:space="preserve">Use Thermal modelling and daylight software/ part L dynamic modelling for overheating.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1A5196B1" w14:textId="02692DE7" w:rsidR="00316108" w:rsidRDefault="00316108">
            <w:r>
              <w:t xml:space="preserve">Southern elevations may require brise Soleil, west and east elevations may require vertical shading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316881BE" w14:textId="77777777" w:rsidR="00316108" w:rsidRDefault="00316108"/>
        </w:tc>
      </w:tr>
      <w:tr w:rsidR="00316108" w14:paraId="16AABF38" w14:textId="47E9F8ED" w:rsidTr="00005098">
        <w:tc>
          <w:tcPr>
            <w:tcW w:w="2254" w:type="dxa"/>
            <w:shd w:val="clear" w:color="auto" w:fill="E2EFD9" w:themeFill="accent6" w:themeFillTint="33"/>
          </w:tcPr>
          <w:p w14:paraId="5AD85CB0" w14:textId="1DA00B22" w:rsidR="00316108" w:rsidRDefault="00316108">
            <w:r>
              <w:t xml:space="preserve">Window detailing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3968A541" w14:textId="07673943" w:rsidR="00316108" w:rsidRDefault="00316108">
            <w:r>
              <w:t xml:space="preserve">Window junctions to be designed without thermal bridging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7E9875DE" w14:textId="2E137251" w:rsidR="00316108" w:rsidRDefault="00316108">
            <w:r>
              <w:t xml:space="preserve">In line with insulation layer. Fabric first approach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5FF7D0D" w14:textId="77777777" w:rsidR="00316108" w:rsidRDefault="00316108"/>
        </w:tc>
      </w:tr>
      <w:tr w:rsidR="00316108" w14:paraId="762C2BCD" w14:textId="6672AC6B" w:rsidTr="00005098">
        <w:tc>
          <w:tcPr>
            <w:tcW w:w="2254" w:type="dxa"/>
            <w:shd w:val="clear" w:color="auto" w:fill="E2EFD9" w:themeFill="accent6" w:themeFillTint="33"/>
          </w:tcPr>
          <w:p w14:paraId="2F769353" w14:textId="575230CD" w:rsidR="00316108" w:rsidRDefault="00316108">
            <w:r>
              <w:t xml:space="preserve">Window film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72FE91AB" w14:textId="691D6757" w:rsidR="00316108" w:rsidRDefault="00316108">
            <w:r>
              <w:t xml:space="preserve">To be avoided as overheating strategy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2B274801" w14:textId="095DC162" w:rsidR="00316108" w:rsidRDefault="00316108">
            <w:r>
              <w:t xml:space="preserve">The film helps with heat gain during summer but some heat gain during winter is useful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84D7D94" w14:textId="77777777" w:rsidR="00316108" w:rsidRDefault="00316108"/>
        </w:tc>
      </w:tr>
      <w:tr w:rsidR="00316108" w14:paraId="2B797CE1" w14:textId="688158B1" w:rsidTr="00005098">
        <w:tc>
          <w:tcPr>
            <w:tcW w:w="2254" w:type="dxa"/>
            <w:shd w:val="clear" w:color="auto" w:fill="E2EFD9" w:themeFill="accent6" w:themeFillTint="33"/>
          </w:tcPr>
          <w:p w14:paraId="179957D4" w14:textId="3FDDC345" w:rsidR="00316108" w:rsidRDefault="00316108">
            <w:r>
              <w:t xml:space="preserve">Balcony design/ canopies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70CB1955" w14:textId="69372CB8" w:rsidR="00316108" w:rsidRDefault="00316108">
            <w:r>
              <w:t xml:space="preserve">Freestanding structures preferred vs. cantilevered. Large metal fixings also to be avoided.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3A97D05C" w14:textId="3689D115" w:rsidR="00316108" w:rsidRDefault="00316108">
            <w:r>
              <w:t xml:space="preserve">Avoid thermal bridging in line with ‘fabric first approach’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534774F" w14:textId="77777777" w:rsidR="00316108" w:rsidRDefault="00316108"/>
        </w:tc>
      </w:tr>
      <w:tr w:rsidR="00316108" w14:paraId="151EDD6B" w14:textId="46BD68A7" w:rsidTr="00005098">
        <w:tc>
          <w:tcPr>
            <w:tcW w:w="2254" w:type="dxa"/>
            <w:shd w:val="clear" w:color="auto" w:fill="E2EFD9" w:themeFill="accent6" w:themeFillTint="33"/>
          </w:tcPr>
          <w:p w14:paraId="6EB8897E" w14:textId="5D75C1EE" w:rsidR="00316108" w:rsidRDefault="00316108">
            <w:r>
              <w:t xml:space="preserve">Air Tightness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387FAB19" w14:textId="1141AF20" w:rsidR="00316108" w:rsidRDefault="00316108">
            <w:r>
              <w:t xml:space="preserve">As low as possible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14D3AF88" w14:textId="51CD485D" w:rsidR="00316108" w:rsidRDefault="00316108">
            <w:r>
              <w:t>In order to be in line with fabric first approach we need good air tightness close to 1m3/ (</w:t>
            </w:r>
            <w:proofErr w:type="gramStart"/>
            <w:r>
              <w:t>h.m2)@</w:t>
            </w:r>
            <w:proofErr w:type="gramEnd"/>
            <w:r>
              <w:t>50 Pa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B64B997" w14:textId="77777777" w:rsidR="00316108" w:rsidRDefault="00316108"/>
        </w:tc>
      </w:tr>
      <w:tr w:rsidR="00316108" w14:paraId="503A301E" w14:textId="7DED441C" w:rsidTr="00005098">
        <w:tc>
          <w:tcPr>
            <w:tcW w:w="2254" w:type="dxa"/>
            <w:shd w:val="clear" w:color="auto" w:fill="E2EFD9" w:themeFill="accent6" w:themeFillTint="33"/>
          </w:tcPr>
          <w:p w14:paraId="5C211C80" w14:textId="47EF2C09" w:rsidR="00316108" w:rsidRDefault="00316108">
            <w:r>
              <w:t>Bays &amp; Dormers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7D4F310A" w14:textId="46A77352" w:rsidR="00316108" w:rsidRDefault="00316108">
            <w:r>
              <w:t>Houses, avoid bay windows and dormers if possible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621944F7" w14:textId="07867E7B" w:rsidR="00316108" w:rsidRDefault="00316108">
            <w:r>
              <w:t>Avoid thermal bridging and heat loss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25AD2E5" w14:textId="77777777" w:rsidR="00316108" w:rsidRDefault="00316108"/>
        </w:tc>
      </w:tr>
      <w:tr w:rsidR="00316108" w14:paraId="1FB6C715" w14:textId="2BD3B0A6" w:rsidTr="00005098">
        <w:tc>
          <w:tcPr>
            <w:tcW w:w="2254" w:type="dxa"/>
            <w:shd w:val="clear" w:color="auto" w:fill="E2EFD9" w:themeFill="accent6" w:themeFillTint="33"/>
          </w:tcPr>
          <w:p w14:paraId="6354DA6B" w14:textId="0161CF83" w:rsidR="00316108" w:rsidRDefault="00316108">
            <w:r>
              <w:t xml:space="preserve">MHVR ventilation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494C2DD0" w14:textId="59F3F912" w:rsidR="00316108" w:rsidRDefault="00316108">
            <w:r>
              <w:t xml:space="preserve">Strategy to be considered regarding mechanical ventilation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0A865078" w14:textId="5F22D1A0" w:rsidR="00316108" w:rsidRDefault="00316108">
            <w:r>
              <w:t xml:space="preserve">Consider strategy of MVHR types if terminals will be visible on elevations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732C9755" w14:textId="77777777" w:rsidR="00316108" w:rsidRDefault="00316108"/>
        </w:tc>
      </w:tr>
      <w:tr w:rsidR="00316108" w14:paraId="414B9D3A" w14:textId="37A8B34D" w:rsidTr="00005098">
        <w:tc>
          <w:tcPr>
            <w:tcW w:w="2254" w:type="dxa"/>
            <w:shd w:val="clear" w:color="auto" w:fill="E2EFD9" w:themeFill="accent6" w:themeFillTint="33"/>
          </w:tcPr>
          <w:p w14:paraId="6A233A3A" w14:textId="68DD1EE5" w:rsidR="00316108" w:rsidRDefault="00316108">
            <w:r>
              <w:t xml:space="preserve">u-values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647DA4DA" w14:textId="110AC0F8" w:rsidR="00316108" w:rsidRDefault="00316108">
            <w:r w:rsidRPr="00EB02DF">
              <w:t xml:space="preserve">See </w:t>
            </w:r>
            <w:r w:rsidR="00187032" w:rsidRPr="00EB02DF">
              <w:t xml:space="preserve">SCC </w:t>
            </w:r>
            <w:r w:rsidR="00EB02DF" w:rsidRPr="00EB02DF">
              <w:t>E</w:t>
            </w:r>
            <w:r w:rsidRPr="00EB02DF">
              <w:t xml:space="preserve">nergy </w:t>
            </w:r>
            <w:r w:rsidR="00EB02DF" w:rsidRPr="00EB02DF">
              <w:t>Guidance for new developments 2021-2025</w:t>
            </w:r>
            <w:r w:rsidR="00EB02DF">
              <w:t xml:space="preserve"> </w:t>
            </w:r>
            <w:r w:rsidR="00856F47">
              <w:t xml:space="preserve">which can be found here </w:t>
            </w:r>
            <w:hyperlink r:id="rId11" w:history="1">
              <w:r w:rsidR="00856F47">
                <w:rPr>
                  <w:rStyle w:val="Hyperlink"/>
                </w:rPr>
                <w:t>Sustainability checklist (southampton.gov.uk)</w:t>
              </w:r>
            </w:hyperlink>
          </w:p>
        </w:tc>
        <w:tc>
          <w:tcPr>
            <w:tcW w:w="4252" w:type="dxa"/>
            <w:shd w:val="clear" w:color="auto" w:fill="E2EFD9" w:themeFill="accent6" w:themeFillTint="33"/>
          </w:tcPr>
          <w:p w14:paraId="432A1A9C" w14:textId="2395A118" w:rsidR="00316108" w:rsidRDefault="00316108">
            <w:r>
              <w:t xml:space="preserve">Fabric First approach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DF35A2D" w14:textId="77777777" w:rsidR="00316108" w:rsidRDefault="00316108"/>
        </w:tc>
      </w:tr>
      <w:tr w:rsidR="00316108" w14:paraId="6E327F8D" w14:textId="44A344A6" w:rsidTr="00005098">
        <w:tc>
          <w:tcPr>
            <w:tcW w:w="2254" w:type="dxa"/>
            <w:shd w:val="clear" w:color="auto" w:fill="E2EFD9" w:themeFill="accent6" w:themeFillTint="33"/>
          </w:tcPr>
          <w:p w14:paraId="3E8F7A76" w14:textId="2E37850F" w:rsidR="00316108" w:rsidRDefault="00316108">
            <w:proofErr w:type="spellStart"/>
            <w:r>
              <w:t>Passivhaus</w:t>
            </w:r>
            <w:proofErr w:type="spellEnd"/>
            <w:r>
              <w:t xml:space="preserve">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2159E499" w14:textId="68303F32" w:rsidR="00316108" w:rsidRPr="003567F2" w:rsidRDefault="00316108">
            <w:pPr>
              <w:rPr>
                <w:highlight w:val="yellow"/>
              </w:rPr>
            </w:pPr>
            <w:r w:rsidRPr="00316108">
              <w:t xml:space="preserve">Consider uplift to full </w:t>
            </w:r>
            <w:proofErr w:type="spellStart"/>
            <w:r w:rsidRPr="00316108">
              <w:t>passiv</w:t>
            </w:r>
            <w:r w:rsidR="00161007">
              <w:t>e</w:t>
            </w:r>
            <w:r w:rsidRPr="00316108">
              <w:t>h</w:t>
            </w:r>
            <w:r w:rsidR="00161007">
              <w:t>a</w:t>
            </w:r>
            <w:r w:rsidRPr="00316108">
              <w:t>us</w:t>
            </w:r>
            <w:proofErr w:type="spellEnd"/>
            <w:r w:rsidRPr="00316108">
              <w:t xml:space="preserve"> standards on suitable plots with good orientation and form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10A3925C" w14:textId="1F021A9C" w:rsidR="00316108" w:rsidRDefault="00316108">
            <w:r>
              <w:t xml:space="preserve">To avoid retrofitting in future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468D6EBE" w14:textId="77777777" w:rsidR="00316108" w:rsidRDefault="00316108"/>
        </w:tc>
      </w:tr>
      <w:tr w:rsidR="00316108" w14:paraId="159B7F1C" w14:textId="53DECBF2" w:rsidTr="00005098">
        <w:tc>
          <w:tcPr>
            <w:tcW w:w="2254" w:type="dxa"/>
            <w:shd w:val="clear" w:color="auto" w:fill="E2EFD9" w:themeFill="accent6" w:themeFillTint="33"/>
          </w:tcPr>
          <w:p w14:paraId="796B474D" w14:textId="6CACC817" w:rsidR="00316108" w:rsidRDefault="00316108">
            <w:r>
              <w:t xml:space="preserve">Heating Strategy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239B51BB" w14:textId="00BDF50F" w:rsidR="00316108" w:rsidRPr="00316108" w:rsidRDefault="00316108">
            <w:r>
              <w:t>F</w:t>
            </w:r>
            <w:r w:rsidR="00C71221">
              <w:t xml:space="preserve">utureproofing of services </w:t>
            </w:r>
            <w:r w:rsidR="00132770">
              <w:t xml:space="preserve">should be considered (for example oversizing of radiators </w:t>
            </w:r>
            <w:r w:rsidR="0036171F">
              <w:t xml:space="preserve">ready for a </w:t>
            </w:r>
            <w:proofErr w:type="spellStart"/>
            <w:r w:rsidR="0036171F">
              <w:t>heatpump</w:t>
            </w:r>
            <w:proofErr w:type="spellEnd"/>
            <w:r w:rsidR="0036171F">
              <w:t>)</w:t>
            </w:r>
            <w:r w:rsidR="008525C1">
              <w:rPr>
                <w:noProof/>
              </w:rPr>
              <w:t xml:space="preserve">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189B370C" w14:textId="23D40756" w:rsidR="00316108" w:rsidRDefault="0036171F">
            <w:r>
              <w:t xml:space="preserve">Futureproofing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2542D8DC" w14:textId="77777777" w:rsidR="00316108" w:rsidRDefault="00316108"/>
        </w:tc>
      </w:tr>
      <w:tr w:rsidR="00005098" w14:paraId="4542EA4A" w14:textId="77777777" w:rsidTr="00005098">
        <w:tc>
          <w:tcPr>
            <w:tcW w:w="2254" w:type="dxa"/>
            <w:shd w:val="clear" w:color="auto" w:fill="E2EFD9" w:themeFill="accent6" w:themeFillTint="33"/>
          </w:tcPr>
          <w:p w14:paraId="7823B0B6" w14:textId="0DAEF17E" w:rsidR="00005098" w:rsidRDefault="00005098">
            <w:r>
              <w:lastRenderedPageBreak/>
              <w:t xml:space="preserve">Roof Orientations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0C3F2098" w14:textId="3AE783F0" w:rsidR="00005098" w:rsidRDefault="00005098">
            <w:r>
              <w:t>Size and position to maximise solar panel potential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6CD21F0A" w14:textId="3911992E" w:rsidR="00005098" w:rsidRDefault="00005098">
            <w:r>
              <w:t xml:space="preserve">Allow for maximum renewable energy generation.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53FDA8D6" w14:textId="77777777" w:rsidR="00005098" w:rsidRDefault="00005098"/>
        </w:tc>
      </w:tr>
      <w:tr w:rsidR="00005098" w14:paraId="2335BCCF" w14:textId="77777777" w:rsidTr="00005098">
        <w:tc>
          <w:tcPr>
            <w:tcW w:w="2254" w:type="dxa"/>
            <w:shd w:val="clear" w:color="auto" w:fill="E2EFD9" w:themeFill="accent6" w:themeFillTint="33"/>
          </w:tcPr>
          <w:p w14:paraId="4F4BBB27" w14:textId="5604DD77" w:rsidR="00005098" w:rsidRDefault="00005098">
            <w:r>
              <w:t xml:space="preserve">Water Use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2757A581" w14:textId="010038AC" w:rsidR="00005098" w:rsidRDefault="00005098">
            <w:r>
              <w:t>Maximum 100 l/p/d internal water use</w:t>
            </w:r>
            <w:r w:rsidR="001D1261">
              <w:t xml:space="preserve">, rainwater harvesting.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687513A3" w14:textId="41485053" w:rsidR="00005098" w:rsidRDefault="00005098">
            <w:r>
              <w:t xml:space="preserve">Reduce water resource pressures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6E7F42E2" w14:textId="77777777" w:rsidR="00005098" w:rsidRDefault="00005098"/>
        </w:tc>
      </w:tr>
      <w:tr w:rsidR="004E76B6" w14:paraId="57EED394" w14:textId="77777777" w:rsidTr="00005098">
        <w:tc>
          <w:tcPr>
            <w:tcW w:w="2254" w:type="dxa"/>
            <w:shd w:val="clear" w:color="auto" w:fill="E2EFD9" w:themeFill="accent6" w:themeFillTint="33"/>
          </w:tcPr>
          <w:p w14:paraId="68F38B4A" w14:textId="1EA637BA" w:rsidR="004E76B6" w:rsidRDefault="004E76B6">
            <w:r>
              <w:t xml:space="preserve">Green Infrastructure </w:t>
            </w:r>
          </w:p>
        </w:tc>
        <w:tc>
          <w:tcPr>
            <w:tcW w:w="3837" w:type="dxa"/>
            <w:shd w:val="clear" w:color="auto" w:fill="E2EFD9" w:themeFill="accent6" w:themeFillTint="33"/>
          </w:tcPr>
          <w:p w14:paraId="623387D9" w14:textId="43C343A6" w:rsidR="004E76B6" w:rsidRDefault="004E76B6">
            <w:r>
              <w:t xml:space="preserve">Maximise use of Green Infrastructure such a </w:t>
            </w:r>
            <w:proofErr w:type="gramStart"/>
            <w:r>
              <w:t>green roofs</w:t>
            </w:r>
            <w:proofErr w:type="gramEnd"/>
            <w:r>
              <w:t xml:space="preserve"> </w:t>
            </w:r>
          </w:p>
        </w:tc>
        <w:tc>
          <w:tcPr>
            <w:tcW w:w="4252" w:type="dxa"/>
            <w:shd w:val="clear" w:color="auto" w:fill="E2EFD9" w:themeFill="accent6" w:themeFillTint="33"/>
          </w:tcPr>
          <w:p w14:paraId="6DEF743C" w14:textId="3AEB19BB" w:rsidR="004E76B6" w:rsidRDefault="001D1261">
            <w:r>
              <w:t xml:space="preserve">Biodiversity, climate adaptation and resilience </w:t>
            </w:r>
          </w:p>
        </w:tc>
        <w:tc>
          <w:tcPr>
            <w:tcW w:w="4253" w:type="dxa"/>
            <w:shd w:val="clear" w:color="auto" w:fill="E2EFD9" w:themeFill="accent6" w:themeFillTint="33"/>
          </w:tcPr>
          <w:p w14:paraId="164B0AED" w14:textId="77777777" w:rsidR="004E76B6" w:rsidRDefault="004E76B6"/>
        </w:tc>
      </w:tr>
    </w:tbl>
    <w:p w14:paraId="1DAF42F3" w14:textId="2E127876" w:rsidR="00974B47" w:rsidRDefault="00974B47" w:rsidP="6C314673"/>
    <w:sectPr w:rsidR="00974B47" w:rsidSect="00C712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08793" w14:textId="77777777" w:rsidR="00C67AED" w:rsidRDefault="00C67AED" w:rsidP="00974B47">
      <w:pPr>
        <w:spacing w:after="0" w:line="240" w:lineRule="auto"/>
      </w:pPr>
      <w:r>
        <w:separator/>
      </w:r>
    </w:p>
  </w:endnote>
  <w:endnote w:type="continuationSeparator" w:id="0">
    <w:p w14:paraId="56141339" w14:textId="77777777" w:rsidR="00C67AED" w:rsidRDefault="00C67AED" w:rsidP="00974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7A30" w14:textId="77777777" w:rsidR="00C67AED" w:rsidRDefault="00C67AED" w:rsidP="00974B47">
      <w:pPr>
        <w:spacing w:after="0" w:line="240" w:lineRule="auto"/>
      </w:pPr>
      <w:r>
        <w:separator/>
      </w:r>
    </w:p>
  </w:footnote>
  <w:footnote w:type="continuationSeparator" w:id="0">
    <w:p w14:paraId="6D1ABABA" w14:textId="77777777" w:rsidR="00C67AED" w:rsidRDefault="00C67AED" w:rsidP="00974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51513237">
    <w:abstractNumId w:val="0"/>
  </w:num>
  <w:num w:numId="2" w16cid:durableId="152988910">
    <w:abstractNumId w:val="0"/>
  </w:num>
  <w:num w:numId="3" w16cid:durableId="1006786054">
    <w:abstractNumId w:val="0"/>
  </w:num>
  <w:num w:numId="4" w16cid:durableId="1936815108">
    <w:abstractNumId w:val="0"/>
  </w:num>
  <w:num w:numId="5" w16cid:durableId="514075511">
    <w:abstractNumId w:val="0"/>
  </w:num>
  <w:num w:numId="6" w16cid:durableId="468136439">
    <w:abstractNumId w:val="0"/>
  </w:num>
  <w:num w:numId="7" w16cid:durableId="2065787850">
    <w:abstractNumId w:val="0"/>
  </w:num>
  <w:num w:numId="8" w16cid:durableId="1892039425">
    <w:abstractNumId w:val="0"/>
  </w:num>
  <w:num w:numId="9" w16cid:durableId="1898585689">
    <w:abstractNumId w:val="0"/>
  </w:num>
  <w:num w:numId="10" w16cid:durableId="177847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B47"/>
    <w:rsid w:val="00005098"/>
    <w:rsid w:val="00034052"/>
    <w:rsid w:val="00132770"/>
    <w:rsid w:val="00161007"/>
    <w:rsid w:val="00187032"/>
    <w:rsid w:val="001D1261"/>
    <w:rsid w:val="001E7F61"/>
    <w:rsid w:val="00316108"/>
    <w:rsid w:val="003567F2"/>
    <w:rsid w:val="0036171F"/>
    <w:rsid w:val="003848D7"/>
    <w:rsid w:val="0046223F"/>
    <w:rsid w:val="004C610E"/>
    <w:rsid w:val="004E76B6"/>
    <w:rsid w:val="0055357B"/>
    <w:rsid w:val="0077794C"/>
    <w:rsid w:val="008525C1"/>
    <w:rsid w:val="00856F47"/>
    <w:rsid w:val="00881D7D"/>
    <w:rsid w:val="009272DD"/>
    <w:rsid w:val="00974B47"/>
    <w:rsid w:val="00BE1FB1"/>
    <w:rsid w:val="00C67AED"/>
    <w:rsid w:val="00C71221"/>
    <w:rsid w:val="00D50B7F"/>
    <w:rsid w:val="00DC6B30"/>
    <w:rsid w:val="00E033FD"/>
    <w:rsid w:val="00E74BB8"/>
    <w:rsid w:val="00EB02DF"/>
    <w:rsid w:val="00F8345A"/>
    <w:rsid w:val="00FC11EA"/>
    <w:rsid w:val="6C31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9E03B"/>
  <w15:chartTrackingRefBased/>
  <w15:docId w15:val="{2E3AAF67-A78D-44F0-8B3D-21121651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052"/>
  </w:style>
  <w:style w:type="paragraph" w:styleId="Heading1">
    <w:name w:val="heading 1"/>
    <w:basedOn w:val="Normal"/>
    <w:next w:val="Normal"/>
    <w:link w:val="Heading1Char"/>
    <w:uiPriority w:val="9"/>
    <w:qFormat/>
    <w:rsid w:val="000340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0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0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0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0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0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0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0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0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34052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052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052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052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05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052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052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052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052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4052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0340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4052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0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034052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034052"/>
    <w:rPr>
      <w:b/>
      <w:bCs/>
    </w:rPr>
  </w:style>
  <w:style w:type="character" w:styleId="Emphasis">
    <w:name w:val="Emphasis"/>
    <w:basedOn w:val="DefaultParagraphFont"/>
    <w:uiPriority w:val="20"/>
    <w:qFormat/>
    <w:rsid w:val="00034052"/>
    <w:rPr>
      <w:i/>
      <w:iCs/>
    </w:rPr>
  </w:style>
  <w:style w:type="paragraph" w:styleId="NoSpacing">
    <w:name w:val="No Spacing"/>
    <w:uiPriority w:val="1"/>
    <w:qFormat/>
    <w:rsid w:val="0003405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34052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3405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05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052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3405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34052"/>
    <w:rPr>
      <w:b w:val="0"/>
      <w:bCs w:val="0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03405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34052"/>
    <w:rPr>
      <w:b/>
      <w:bCs/>
      <w:smallCaps/>
      <w:color w:val="4472C4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3405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34052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62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2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2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23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856F4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033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outhampton.gov.uk/sustainability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3633fb-ad58-458c-8f03-74801c59b150">
      <Terms xmlns="http://schemas.microsoft.com/office/infopath/2007/PartnerControls"/>
    </lcf76f155ced4ddcb4097134ff3c332f>
    <TaxCatchAll xmlns="4b5e219b-a606-444b-8cdc-b77a3d60cc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48AB30BFE6243AABB3528D90F19F1" ma:contentTypeVersion="15" ma:contentTypeDescription="Create a new document." ma:contentTypeScope="" ma:versionID="7199076bc96b061de393ad982522d7f8">
  <xsd:schema xmlns:xsd="http://www.w3.org/2001/XMLSchema" xmlns:xs="http://www.w3.org/2001/XMLSchema" xmlns:p="http://schemas.microsoft.com/office/2006/metadata/properties" xmlns:ns2="493633fb-ad58-458c-8f03-74801c59b150" xmlns:ns3="4b5e219b-a606-444b-8cdc-b77a3d60cc90" targetNamespace="http://schemas.microsoft.com/office/2006/metadata/properties" ma:root="true" ma:fieldsID="ee7494a8b224a087bd8bcd443816ea89" ns2:_="" ns3:_="">
    <xsd:import namespace="493633fb-ad58-458c-8f03-74801c59b150"/>
    <xsd:import namespace="4b5e219b-a606-444b-8cdc-b77a3d60cc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633fb-ad58-458c-8f03-74801c59b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ed7a1a3-473e-4927-98d6-49a28d24d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e219b-a606-444b-8cdc-b77a3d60cc9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913e636-35a6-4de7-bb20-ca12d7046031}" ma:internalName="TaxCatchAll" ma:showField="CatchAllData" ma:web="4b5e219b-a606-444b-8cdc-b77a3d60cc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8D6B8-5087-42AC-94E2-CA7D15EA0E93}">
  <ds:schemaRefs>
    <ds:schemaRef ds:uri="http://schemas.microsoft.com/office/2006/metadata/properties"/>
    <ds:schemaRef ds:uri="http://schemas.microsoft.com/office/infopath/2007/PartnerControls"/>
    <ds:schemaRef ds:uri="ffdc50f5-9a66-446c-8f8c-a4688336534c"/>
  </ds:schemaRefs>
</ds:datastoreItem>
</file>

<file path=customXml/itemProps2.xml><?xml version="1.0" encoding="utf-8"?>
<ds:datastoreItem xmlns:ds="http://schemas.openxmlformats.org/officeDocument/2006/customXml" ds:itemID="{2F45D1AF-7A84-42D3-B083-259B560A62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16F92D-B652-41D1-9690-3F84EB020C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2023-07-12T15:46:00Z</dcterms:created>
  <dcterms:modified xsi:type="dcterms:W3CDTF">2023-07-28T14:11:00Z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0x0101000D948AB30BFE6243AABB3528D90F19F1</vt:lpwstr>
  </property>
</Properties>
</file>