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5D5C" w14:textId="77777777" w:rsidR="004229DE" w:rsidRDefault="004229DE" w:rsidP="004A12E6">
      <w:pPr>
        <w:pStyle w:val="Title"/>
        <w:rPr>
          <w:rFonts w:asciiTheme="minorHAnsi" w:hAnsiTheme="minorHAnsi"/>
          <w:b/>
          <w:bCs/>
          <w:sz w:val="44"/>
          <w:szCs w:val="44"/>
        </w:rPr>
      </w:pPr>
    </w:p>
    <w:p w14:paraId="1C7121B1" w14:textId="221FE04F" w:rsidR="004A12E6" w:rsidRPr="00F85F07" w:rsidRDefault="004A12E6" w:rsidP="004A12E6">
      <w:pPr>
        <w:pStyle w:val="Title"/>
        <w:rPr>
          <w:rFonts w:asciiTheme="minorHAnsi" w:hAnsiTheme="minorHAnsi"/>
          <w:b/>
          <w:bCs/>
          <w:sz w:val="44"/>
          <w:szCs w:val="44"/>
        </w:rPr>
      </w:pPr>
      <w:r w:rsidRPr="00F85F07">
        <w:rPr>
          <w:rFonts w:asciiTheme="minorHAnsi" w:hAnsiTheme="minorHAnsi"/>
          <w:b/>
          <w:bCs/>
          <w:sz w:val="44"/>
          <w:szCs w:val="44"/>
        </w:rPr>
        <w:t>SEND</w:t>
      </w:r>
      <w:r w:rsidR="00D323D3">
        <w:rPr>
          <w:rFonts w:asciiTheme="minorHAnsi" w:hAnsiTheme="minorHAnsi"/>
          <w:b/>
          <w:bCs/>
          <w:sz w:val="44"/>
          <w:szCs w:val="44"/>
        </w:rPr>
        <w:t xml:space="preserve"> Tribunal: Extended Appeals</w:t>
      </w:r>
    </w:p>
    <w:p w14:paraId="3B263FB2" w14:textId="77777777" w:rsidR="004A12E6" w:rsidRPr="0086443F" w:rsidRDefault="004A12E6" w:rsidP="004A12E6">
      <w:pPr>
        <w:pStyle w:val="Title"/>
        <w:rPr>
          <w:rFonts w:asciiTheme="minorHAnsi" w:hAnsiTheme="minorHAnsi"/>
          <w:sz w:val="52"/>
          <w:szCs w:val="52"/>
        </w:rPr>
      </w:pPr>
    </w:p>
    <w:p w14:paraId="45665293" w14:textId="77777777" w:rsidR="004A12E6" w:rsidRPr="0086443F" w:rsidRDefault="004A12E6" w:rsidP="004A12E6">
      <w:pPr>
        <w:pStyle w:val="Title"/>
        <w:rPr>
          <w:rFonts w:asciiTheme="minorHAnsi" w:hAnsiTheme="minorHAnsi"/>
          <w:sz w:val="52"/>
          <w:szCs w:val="52"/>
        </w:rPr>
      </w:pPr>
      <w:r w:rsidRPr="0086443F">
        <w:rPr>
          <w:rFonts w:asciiTheme="minorHAnsi" w:hAnsiTheme="minorHAnsi"/>
          <w:sz w:val="52"/>
          <w:szCs w:val="52"/>
        </w:rPr>
        <w:t>Frequently asked Questions</w:t>
      </w:r>
    </w:p>
    <w:p w14:paraId="017AB31D" w14:textId="77777777" w:rsidR="004A12E6" w:rsidRPr="0086443F" w:rsidRDefault="004A12E6" w:rsidP="004A12E6">
      <w:pPr>
        <w:pStyle w:val="BodyText"/>
        <w:spacing w:before="9"/>
        <w:rPr>
          <w:rFonts w:asciiTheme="minorHAnsi" w:hAnsiTheme="minorHAnsi"/>
          <w:b/>
          <w:sz w:val="21"/>
        </w:rPr>
      </w:pPr>
    </w:p>
    <w:p w14:paraId="5B360D9D" w14:textId="0AEB164E" w:rsidR="004A12E6" w:rsidRPr="0086443F" w:rsidRDefault="004A12E6" w:rsidP="004A12E6">
      <w:pPr>
        <w:pStyle w:val="BodyText"/>
        <w:rPr>
          <w:rFonts w:asciiTheme="minorHAnsi" w:hAnsiTheme="minorHAnsi"/>
        </w:rPr>
      </w:pPr>
      <w:r w:rsidRPr="0086443F">
        <w:rPr>
          <w:rFonts w:asciiTheme="minorHAnsi" w:hAnsiTheme="minorHAnsi"/>
        </w:rPr>
        <w:t>This document provides answers to frequently asked questions about the</w:t>
      </w:r>
      <w:r w:rsidR="00D323D3">
        <w:rPr>
          <w:rFonts w:asciiTheme="minorHAnsi" w:hAnsiTheme="minorHAnsi"/>
        </w:rPr>
        <w:t xml:space="preserve"> SEN</w:t>
      </w:r>
      <w:r w:rsidR="00BD3FCF">
        <w:rPr>
          <w:rFonts w:asciiTheme="minorHAnsi" w:hAnsiTheme="minorHAnsi"/>
        </w:rPr>
        <w:t>D Tribunal: Extended Appeals</w:t>
      </w:r>
      <w:r w:rsidRPr="0086443F">
        <w:rPr>
          <w:rFonts w:asciiTheme="minorHAnsi" w:hAnsiTheme="minorHAnsi"/>
        </w:rPr>
        <w:t xml:space="preserve"> that </w:t>
      </w:r>
      <w:r w:rsidR="00E8027F">
        <w:rPr>
          <w:rFonts w:asciiTheme="minorHAnsi" w:hAnsiTheme="minorHAnsi"/>
        </w:rPr>
        <w:t>continues</w:t>
      </w:r>
      <w:r w:rsidRPr="0086443F">
        <w:rPr>
          <w:rFonts w:asciiTheme="minorHAnsi" w:hAnsiTheme="minorHAnsi"/>
        </w:rPr>
        <w:t xml:space="preserve"> the powers of the SEND Tribunal to make non-binding recommendations on the health and/or social care elements of Education, Health and Care plans. It is aimed at those who have an interest in, or are involved with, </w:t>
      </w:r>
      <w:r w:rsidR="006E6C7E">
        <w:rPr>
          <w:rFonts w:asciiTheme="minorHAnsi" w:hAnsiTheme="minorHAnsi"/>
        </w:rPr>
        <w:t xml:space="preserve">SEND Tribunal: Extended Appeals. </w:t>
      </w:r>
      <w:r w:rsidRPr="0086443F">
        <w:rPr>
          <w:rFonts w:asciiTheme="minorHAnsi" w:hAnsiTheme="minorHAnsi"/>
        </w:rPr>
        <w:t xml:space="preserve"> </w:t>
      </w:r>
    </w:p>
    <w:p w14:paraId="43B53513" w14:textId="77777777" w:rsidR="004A12E6" w:rsidRPr="004D55B1" w:rsidRDefault="004A12E6" w:rsidP="004A12E6">
      <w:pPr>
        <w:pStyle w:val="BodyText"/>
        <w:rPr>
          <w:rFonts w:asciiTheme="minorHAnsi" w:hAnsiTheme="minorHAnsi" w:cstheme="minorHAnsi"/>
          <w:sz w:val="14"/>
        </w:rPr>
      </w:pPr>
    </w:p>
    <w:sdt>
      <w:sdtPr>
        <w:rPr>
          <w:rFonts w:asciiTheme="minorHAnsi" w:eastAsiaTheme="minorEastAsia" w:hAnsiTheme="minorHAnsi" w:cstheme="minorHAnsi"/>
          <w:color w:val="auto"/>
          <w:sz w:val="21"/>
          <w:szCs w:val="21"/>
        </w:rPr>
        <w:id w:val="-2070950429"/>
        <w:docPartObj>
          <w:docPartGallery w:val="Table of Contents"/>
          <w:docPartUnique/>
        </w:docPartObj>
      </w:sdtPr>
      <w:sdtEndPr>
        <w:rPr>
          <w:b/>
          <w:bCs/>
          <w:noProof/>
        </w:rPr>
      </w:sdtEndPr>
      <w:sdtContent>
        <w:p w14:paraId="19C1F491" w14:textId="77777777" w:rsidR="004A12E6" w:rsidRPr="004D55B1" w:rsidRDefault="004A12E6" w:rsidP="004A12E6">
          <w:pPr>
            <w:pStyle w:val="TOCHeading"/>
            <w:rPr>
              <w:rFonts w:asciiTheme="minorHAnsi" w:hAnsiTheme="minorHAnsi" w:cstheme="minorHAnsi"/>
              <w:sz w:val="48"/>
              <w:szCs w:val="48"/>
            </w:rPr>
          </w:pPr>
          <w:r w:rsidRPr="004D55B1">
            <w:rPr>
              <w:rFonts w:asciiTheme="minorHAnsi" w:hAnsiTheme="minorHAnsi" w:cstheme="minorHAnsi"/>
              <w:sz w:val="48"/>
              <w:szCs w:val="48"/>
            </w:rPr>
            <w:t>Contents</w:t>
          </w:r>
        </w:p>
        <w:p w14:paraId="40D03046" w14:textId="23395502" w:rsidR="004A12E6" w:rsidRPr="00196CB2" w:rsidRDefault="004A12E6" w:rsidP="004A12E6">
          <w:pPr>
            <w:pStyle w:val="TOC1"/>
            <w:tabs>
              <w:tab w:val="right" w:leader="dot" w:pos="9380"/>
            </w:tabs>
            <w:rPr>
              <w:noProof/>
              <w:color w:val="2F5496" w:themeColor="accent1" w:themeShade="BF"/>
              <w:sz w:val="32"/>
              <w:szCs w:val="32"/>
              <w:lang w:val="en-GB" w:eastAsia="en-GB"/>
            </w:rPr>
          </w:pPr>
          <w:r w:rsidRPr="00196CB2">
            <w:rPr>
              <w:rFonts w:cstheme="minorHAnsi"/>
              <w:color w:val="2F5496" w:themeColor="accent1" w:themeShade="BF"/>
              <w:sz w:val="40"/>
              <w:szCs w:val="40"/>
            </w:rPr>
            <w:fldChar w:fldCharType="begin"/>
          </w:r>
          <w:r w:rsidRPr="00196CB2">
            <w:rPr>
              <w:rFonts w:cstheme="minorHAnsi"/>
              <w:color w:val="2F5496" w:themeColor="accent1" w:themeShade="BF"/>
              <w:sz w:val="40"/>
              <w:szCs w:val="40"/>
            </w:rPr>
            <w:instrText xml:space="preserve"> TOC \o "1-3" \h \z \u </w:instrText>
          </w:r>
          <w:r w:rsidRPr="00196CB2">
            <w:rPr>
              <w:rFonts w:cstheme="minorHAnsi"/>
              <w:color w:val="2F5496" w:themeColor="accent1" w:themeShade="BF"/>
              <w:sz w:val="40"/>
              <w:szCs w:val="40"/>
            </w:rPr>
            <w:fldChar w:fldCharType="separate"/>
          </w:r>
          <w:hyperlink w:anchor="_Toc42074109" w:history="1">
            <w:r w:rsidRPr="00196CB2">
              <w:rPr>
                <w:rStyle w:val="Hyperlink"/>
                <w:noProof/>
                <w:color w:val="2F5496" w:themeColor="accent1" w:themeShade="BF"/>
                <w:spacing w:val="-8"/>
                <w:sz w:val="28"/>
                <w:szCs w:val="28"/>
              </w:rPr>
              <w:t xml:space="preserve">The </w:t>
            </w:r>
            <w:r w:rsidRPr="00196CB2">
              <w:rPr>
                <w:rStyle w:val="Hyperlink"/>
                <w:noProof/>
                <w:color w:val="2F5496" w:themeColor="accent1" w:themeShade="BF"/>
                <w:spacing w:val="-10"/>
                <w:sz w:val="28"/>
                <w:szCs w:val="28"/>
              </w:rPr>
              <w:t>Basics</w:t>
            </w:r>
            <w:r w:rsidRPr="00196CB2">
              <w:rPr>
                <w:noProof/>
                <w:webHidden/>
                <w:color w:val="2F5496" w:themeColor="accent1" w:themeShade="BF"/>
                <w:sz w:val="28"/>
                <w:szCs w:val="28"/>
              </w:rPr>
              <w:tab/>
            </w:r>
            <w:r w:rsidRPr="00196CB2">
              <w:rPr>
                <w:noProof/>
                <w:webHidden/>
                <w:color w:val="2F5496" w:themeColor="accent1" w:themeShade="BF"/>
                <w:sz w:val="28"/>
                <w:szCs w:val="28"/>
              </w:rPr>
              <w:fldChar w:fldCharType="begin"/>
            </w:r>
            <w:r w:rsidRPr="00196CB2">
              <w:rPr>
                <w:noProof/>
                <w:webHidden/>
                <w:color w:val="2F5496" w:themeColor="accent1" w:themeShade="BF"/>
                <w:sz w:val="28"/>
                <w:szCs w:val="28"/>
              </w:rPr>
              <w:instrText xml:space="preserve"> PAGEREF _Toc42074109 \h </w:instrText>
            </w:r>
            <w:r w:rsidRPr="00196CB2">
              <w:rPr>
                <w:noProof/>
                <w:webHidden/>
                <w:color w:val="2F5496" w:themeColor="accent1" w:themeShade="BF"/>
                <w:sz w:val="28"/>
                <w:szCs w:val="28"/>
              </w:rPr>
            </w:r>
            <w:r w:rsidRPr="00196CB2">
              <w:rPr>
                <w:noProof/>
                <w:webHidden/>
                <w:color w:val="2F5496" w:themeColor="accent1" w:themeShade="BF"/>
                <w:sz w:val="28"/>
                <w:szCs w:val="28"/>
              </w:rPr>
              <w:fldChar w:fldCharType="separate"/>
            </w:r>
            <w:r w:rsidR="00E55207">
              <w:rPr>
                <w:noProof/>
                <w:webHidden/>
                <w:color w:val="2F5496" w:themeColor="accent1" w:themeShade="BF"/>
                <w:sz w:val="28"/>
                <w:szCs w:val="28"/>
              </w:rPr>
              <w:t>2</w:t>
            </w:r>
            <w:r w:rsidRPr="00196CB2">
              <w:rPr>
                <w:noProof/>
                <w:webHidden/>
                <w:color w:val="2F5496" w:themeColor="accent1" w:themeShade="BF"/>
                <w:sz w:val="28"/>
                <w:szCs w:val="28"/>
              </w:rPr>
              <w:fldChar w:fldCharType="end"/>
            </w:r>
          </w:hyperlink>
        </w:p>
        <w:p w14:paraId="0DD8BFDB" w14:textId="3AAC3DFE" w:rsidR="004A12E6" w:rsidRPr="00196CB2" w:rsidRDefault="00CF4FA3" w:rsidP="004A12E6">
          <w:pPr>
            <w:pStyle w:val="TOC1"/>
            <w:tabs>
              <w:tab w:val="right" w:leader="dot" w:pos="9380"/>
            </w:tabs>
            <w:rPr>
              <w:noProof/>
              <w:color w:val="2F5496" w:themeColor="accent1" w:themeShade="BF"/>
              <w:sz w:val="32"/>
              <w:szCs w:val="32"/>
              <w:lang w:val="en-GB" w:eastAsia="en-GB"/>
            </w:rPr>
          </w:pPr>
          <w:hyperlink w:anchor="_Toc42074116" w:history="1">
            <w:r w:rsidR="004A12E6" w:rsidRPr="00196CB2">
              <w:rPr>
                <w:rStyle w:val="Hyperlink"/>
                <w:noProof/>
                <w:color w:val="2F5496" w:themeColor="accent1" w:themeShade="BF"/>
                <w:spacing w:val="-9"/>
                <w:sz w:val="28"/>
                <w:szCs w:val="28"/>
              </w:rPr>
              <w:t xml:space="preserve">Health </w:t>
            </w:r>
            <w:r w:rsidR="004A12E6" w:rsidRPr="00196CB2">
              <w:rPr>
                <w:rStyle w:val="Hyperlink"/>
                <w:noProof/>
                <w:color w:val="2F5496" w:themeColor="accent1" w:themeShade="BF"/>
                <w:spacing w:val="-7"/>
                <w:sz w:val="28"/>
                <w:szCs w:val="28"/>
              </w:rPr>
              <w:t xml:space="preserve">and </w:t>
            </w:r>
            <w:r w:rsidR="004A12E6" w:rsidRPr="00196CB2">
              <w:rPr>
                <w:rStyle w:val="Hyperlink"/>
                <w:noProof/>
                <w:color w:val="2F5496" w:themeColor="accent1" w:themeShade="BF"/>
                <w:spacing w:val="-8"/>
                <w:sz w:val="28"/>
                <w:szCs w:val="28"/>
              </w:rPr>
              <w:t>Social Care</w:t>
            </w:r>
            <w:r w:rsidR="004A12E6" w:rsidRPr="00196CB2">
              <w:rPr>
                <w:noProof/>
                <w:webHidden/>
                <w:color w:val="2F5496" w:themeColor="accent1" w:themeShade="BF"/>
                <w:sz w:val="28"/>
                <w:szCs w:val="28"/>
              </w:rPr>
              <w:tab/>
            </w:r>
            <w:r w:rsidR="004A12E6" w:rsidRPr="00196CB2">
              <w:rPr>
                <w:noProof/>
                <w:webHidden/>
                <w:color w:val="2F5496" w:themeColor="accent1" w:themeShade="BF"/>
                <w:sz w:val="28"/>
                <w:szCs w:val="28"/>
              </w:rPr>
              <w:fldChar w:fldCharType="begin"/>
            </w:r>
            <w:r w:rsidR="004A12E6" w:rsidRPr="00196CB2">
              <w:rPr>
                <w:noProof/>
                <w:webHidden/>
                <w:color w:val="2F5496" w:themeColor="accent1" w:themeShade="BF"/>
                <w:sz w:val="28"/>
                <w:szCs w:val="28"/>
              </w:rPr>
              <w:instrText xml:space="preserve"> PAGEREF _Toc42074116 \h </w:instrText>
            </w:r>
            <w:r w:rsidR="004A12E6" w:rsidRPr="00196CB2">
              <w:rPr>
                <w:noProof/>
                <w:webHidden/>
                <w:color w:val="2F5496" w:themeColor="accent1" w:themeShade="BF"/>
                <w:sz w:val="28"/>
                <w:szCs w:val="28"/>
              </w:rPr>
            </w:r>
            <w:r w:rsidR="004A12E6" w:rsidRPr="00196CB2">
              <w:rPr>
                <w:noProof/>
                <w:webHidden/>
                <w:color w:val="2F5496" w:themeColor="accent1" w:themeShade="BF"/>
                <w:sz w:val="28"/>
                <w:szCs w:val="28"/>
              </w:rPr>
              <w:fldChar w:fldCharType="separate"/>
            </w:r>
            <w:r w:rsidR="00E55207">
              <w:rPr>
                <w:noProof/>
                <w:webHidden/>
                <w:color w:val="2F5496" w:themeColor="accent1" w:themeShade="BF"/>
                <w:sz w:val="28"/>
                <w:szCs w:val="28"/>
              </w:rPr>
              <w:t>4</w:t>
            </w:r>
            <w:r w:rsidR="004A12E6" w:rsidRPr="00196CB2">
              <w:rPr>
                <w:noProof/>
                <w:webHidden/>
                <w:color w:val="2F5496" w:themeColor="accent1" w:themeShade="BF"/>
                <w:sz w:val="28"/>
                <w:szCs w:val="28"/>
              </w:rPr>
              <w:fldChar w:fldCharType="end"/>
            </w:r>
          </w:hyperlink>
        </w:p>
        <w:p w14:paraId="4F44E08A" w14:textId="64D3B313" w:rsidR="004A12E6" w:rsidRPr="00196CB2" w:rsidRDefault="00CF4FA3" w:rsidP="004A12E6">
          <w:pPr>
            <w:pStyle w:val="TOC1"/>
            <w:tabs>
              <w:tab w:val="right" w:leader="dot" w:pos="9380"/>
            </w:tabs>
            <w:rPr>
              <w:noProof/>
              <w:color w:val="2F5496" w:themeColor="accent1" w:themeShade="BF"/>
              <w:sz w:val="32"/>
              <w:szCs w:val="32"/>
              <w:lang w:val="en-GB" w:eastAsia="en-GB"/>
            </w:rPr>
          </w:pPr>
          <w:hyperlink w:anchor="_Toc42074123" w:history="1">
            <w:r w:rsidR="004A12E6" w:rsidRPr="00196CB2">
              <w:rPr>
                <w:rStyle w:val="Hyperlink"/>
                <w:noProof/>
                <w:color w:val="2F5496" w:themeColor="accent1" w:themeShade="BF"/>
                <w:spacing w:val="-8"/>
                <w:sz w:val="28"/>
                <w:szCs w:val="28"/>
              </w:rPr>
              <w:t xml:space="preserve">The </w:t>
            </w:r>
            <w:r w:rsidR="004A12E6" w:rsidRPr="00196CB2">
              <w:rPr>
                <w:rStyle w:val="Hyperlink"/>
                <w:noProof/>
                <w:color w:val="2F5496" w:themeColor="accent1" w:themeShade="BF"/>
                <w:spacing w:val="-12"/>
                <w:sz w:val="28"/>
                <w:szCs w:val="28"/>
              </w:rPr>
              <w:t xml:space="preserve">Tribunal </w:t>
            </w:r>
            <w:r w:rsidR="004A12E6" w:rsidRPr="00196CB2">
              <w:rPr>
                <w:rStyle w:val="Hyperlink"/>
                <w:noProof/>
                <w:color w:val="2F5496" w:themeColor="accent1" w:themeShade="BF"/>
                <w:spacing w:val="-9"/>
                <w:sz w:val="28"/>
                <w:szCs w:val="28"/>
              </w:rPr>
              <w:t>process</w:t>
            </w:r>
            <w:r w:rsidR="004A12E6" w:rsidRPr="00196CB2">
              <w:rPr>
                <w:noProof/>
                <w:webHidden/>
                <w:color w:val="2F5496" w:themeColor="accent1" w:themeShade="BF"/>
                <w:sz w:val="28"/>
                <w:szCs w:val="28"/>
              </w:rPr>
              <w:tab/>
            </w:r>
            <w:r w:rsidR="004A12E6" w:rsidRPr="00196CB2">
              <w:rPr>
                <w:noProof/>
                <w:webHidden/>
                <w:color w:val="2F5496" w:themeColor="accent1" w:themeShade="BF"/>
                <w:sz w:val="28"/>
                <w:szCs w:val="28"/>
              </w:rPr>
              <w:fldChar w:fldCharType="begin"/>
            </w:r>
            <w:r w:rsidR="004A12E6" w:rsidRPr="00196CB2">
              <w:rPr>
                <w:noProof/>
                <w:webHidden/>
                <w:color w:val="2F5496" w:themeColor="accent1" w:themeShade="BF"/>
                <w:sz w:val="28"/>
                <w:szCs w:val="28"/>
              </w:rPr>
              <w:instrText xml:space="preserve"> PAGEREF _Toc42074123 \h </w:instrText>
            </w:r>
            <w:r w:rsidR="004A12E6" w:rsidRPr="00196CB2">
              <w:rPr>
                <w:noProof/>
                <w:webHidden/>
                <w:color w:val="2F5496" w:themeColor="accent1" w:themeShade="BF"/>
                <w:sz w:val="28"/>
                <w:szCs w:val="28"/>
              </w:rPr>
            </w:r>
            <w:r w:rsidR="004A12E6" w:rsidRPr="00196CB2">
              <w:rPr>
                <w:noProof/>
                <w:webHidden/>
                <w:color w:val="2F5496" w:themeColor="accent1" w:themeShade="BF"/>
                <w:sz w:val="28"/>
                <w:szCs w:val="28"/>
              </w:rPr>
              <w:fldChar w:fldCharType="separate"/>
            </w:r>
            <w:r w:rsidR="00E55207">
              <w:rPr>
                <w:noProof/>
                <w:webHidden/>
                <w:color w:val="2F5496" w:themeColor="accent1" w:themeShade="BF"/>
                <w:sz w:val="28"/>
                <w:szCs w:val="28"/>
              </w:rPr>
              <w:t>6</w:t>
            </w:r>
            <w:r w:rsidR="004A12E6" w:rsidRPr="00196CB2">
              <w:rPr>
                <w:noProof/>
                <w:webHidden/>
                <w:color w:val="2F5496" w:themeColor="accent1" w:themeShade="BF"/>
                <w:sz w:val="28"/>
                <w:szCs w:val="28"/>
              </w:rPr>
              <w:fldChar w:fldCharType="end"/>
            </w:r>
          </w:hyperlink>
        </w:p>
        <w:p w14:paraId="2066FFE0" w14:textId="713D74A3" w:rsidR="004A12E6" w:rsidRPr="00196CB2" w:rsidRDefault="00CF4FA3" w:rsidP="004A12E6">
          <w:pPr>
            <w:pStyle w:val="TOC1"/>
            <w:tabs>
              <w:tab w:val="right" w:leader="dot" w:pos="9380"/>
            </w:tabs>
            <w:rPr>
              <w:noProof/>
              <w:color w:val="2F5496" w:themeColor="accent1" w:themeShade="BF"/>
              <w:sz w:val="32"/>
              <w:szCs w:val="32"/>
              <w:lang w:val="en-GB" w:eastAsia="en-GB"/>
            </w:rPr>
          </w:pPr>
          <w:hyperlink w:anchor="_Toc42074129" w:history="1">
            <w:r w:rsidR="004A12E6" w:rsidRPr="00196CB2">
              <w:rPr>
                <w:rStyle w:val="Hyperlink"/>
                <w:noProof/>
                <w:color w:val="2F5496" w:themeColor="accent1" w:themeShade="BF"/>
                <w:spacing w:val="-12"/>
                <w:sz w:val="28"/>
                <w:szCs w:val="28"/>
              </w:rPr>
              <w:t xml:space="preserve">National Trial </w:t>
            </w:r>
            <w:r w:rsidR="004A12E6" w:rsidRPr="00196CB2">
              <w:rPr>
                <w:rStyle w:val="Hyperlink"/>
                <w:noProof/>
                <w:color w:val="2F5496" w:themeColor="accent1" w:themeShade="BF"/>
                <w:spacing w:val="-9"/>
                <w:sz w:val="28"/>
                <w:szCs w:val="28"/>
              </w:rPr>
              <w:t>appeals</w:t>
            </w:r>
            <w:r w:rsidR="004A12E6" w:rsidRPr="00196CB2">
              <w:rPr>
                <w:noProof/>
                <w:webHidden/>
                <w:color w:val="2F5496" w:themeColor="accent1" w:themeShade="BF"/>
                <w:sz w:val="28"/>
                <w:szCs w:val="28"/>
              </w:rPr>
              <w:tab/>
            </w:r>
            <w:r w:rsidR="004A12E6" w:rsidRPr="00196CB2">
              <w:rPr>
                <w:noProof/>
                <w:webHidden/>
                <w:color w:val="2F5496" w:themeColor="accent1" w:themeShade="BF"/>
                <w:sz w:val="28"/>
                <w:szCs w:val="28"/>
              </w:rPr>
              <w:fldChar w:fldCharType="begin"/>
            </w:r>
            <w:r w:rsidR="004A12E6" w:rsidRPr="00196CB2">
              <w:rPr>
                <w:noProof/>
                <w:webHidden/>
                <w:color w:val="2F5496" w:themeColor="accent1" w:themeShade="BF"/>
                <w:sz w:val="28"/>
                <w:szCs w:val="28"/>
              </w:rPr>
              <w:instrText xml:space="preserve"> PAGEREF _Toc42074129 \h </w:instrText>
            </w:r>
            <w:r w:rsidR="004A12E6" w:rsidRPr="00196CB2">
              <w:rPr>
                <w:noProof/>
                <w:webHidden/>
                <w:color w:val="2F5496" w:themeColor="accent1" w:themeShade="BF"/>
                <w:sz w:val="28"/>
                <w:szCs w:val="28"/>
              </w:rPr>
            </w:r>
            <w:r w:rsidR="004A12E6" w:rsidRPr="00196CB2">
              <w:rPr>
                <w:noProof/>
                <w:webHidden/>
                <w:color w:val="2F5496" w:themeColor="accent1" w:themeShade="BF"/>
                <w:sz w:val="28"/>
                <w:szCs w:val="28"/>
              </w:rPr>
              <w:fldChar w:fldCharType="separate"/>
            </w:r>
            <w:r w:rsidR="00E55207">
              <w:rPr>
                <w:noProof/>
                <w:webHidden/>
                <w:color w:val="2F5496" w:themeColor="accent1" w:themeShade="BF"/>
                <w:sz w:val="28"/>
                <w:szCs w:val="28"/>
              </w:rPr>
              <w:t>8</w:t>
            </w:r>
            <w:r w:rsidR="004A12E6" w:rsidRPr="00196CB2">
              <w:rPr>
                <w:noProof/>
                <w:webHidden/>
                <w:color w:val="2F5496" w:themeColor="accent1" w:themeShade="BF"/>
                <w:sz w:val="28"/>
                <w:szCs w:val="28"/>
              </w:rPr>
              <w:fldChar w:fldCharType="end"/>
            </w:r>
          </w:hyperlink>
        </w:p>
        <w:p w14:paraId="2A7303E0" w14:textId="004EE599" w:rsidR="004A12E6" w:rsidRPr="00196CB2" w:rsidRDefault="00CF4FA3" w:rsidP="004A12E6">
          <w:pPr>
            <w:pStyle w:val="TOC1"/>
            <w:tabs>
              <w:tab w:val="right" w:leader="dot" w:pos="9380"/>
            </w:tabs>
            <w:rPr>
              <w:noProof/>
              <w:color w:val="2F5496" w:themeColor="accent1" w:themeShade="BF"/>
              <w:sz w:val="32"/>
              <w:szCs w:val="32"/>
              <w:lang w:val="en-GB" w:eastAsia="en-GB"/>
            </w:rPr>
          </w:pPr>
          <w:hyperlink w:anchor="_Toc42074132" w:history="1">
            <w:r w:rsidR="004A12E6" w:rsidRPr="00196CB2">
              <w:rPr>
                <w:rStyle w:val="Hyperlink"/>
                <w:noProof/>
                <w:color w:val="2F5496" w:themeColor="accent1" w:themeShade="BF"/>
                <w:spacing w:val="-9"/>
                <w:sz w:val="28"/>
                <w:szCs w:val="28"/>
              </w:rPr>
              <w:t>Responding to recommendations</w:t>
            </w:r>
            <w:r w:rsidR="004A12E6" w:rsidRPr="00196CB2">
              <w:rPr>
                <w:noProof/>
                <w:webHidden/>
                <w:color w:val="2F5496" w:themeColor="accent1" w:themeShade="BF"/>
                <w:sz w:val="28"/>
                <w:szCs w:val="28"/>
              </w:rPr>
              <w:tab/>
            </w:r>
            <w:r w:rsidR="004A12E6" w:rsidRPr="00196CB2">
              <w:rPr>
                <w:noProof/>
                <w:webHidden/>
                <w:color w:val="2F5496" w:themeColor="accent1" w:themeShade="BF"/>
                <w:sz w:val="28"/>
                <w:szCs w:val="28"/>
              </w:rPr>
              <w:fldChar w:fldCharType="begin"/>
            </w:r>
            <w:r w:rsidR="004A12E6" w:rsidRPr="00196CB2">
              <w:rPr>
                <w:noProof/>
                <w:webHidden/>
                <w:color w:val="2F5496" w:themeColor="accent1" w:themeShade="BF"/>
                <w:sz w:val="28"/>
                <w:szCs w:val="28"/>
              </w:rPr>
              <w:instrText xml:space="preserve"> PAGEREF _Toc42074132 \h </w:instrText>
            </w:r>
            <w:r w:rsidR="004A12E6" w:rsidRPr="00196CB2">
              <w:rPr>
                <w:noProof/>
                <w:webHidden/>
                <w:color w:val="2F5496" w:themeColor="accent1" w:themeShade="BF"/>
                <w:sz w:val="28"/>
                <w:szCs w:val="28"/>
              </w:rPr>
            </w:r>
            <w:r w:rsidR="004A12E6" w:rsidRPr="00196CB2">
              <w:rPr>
                <w:noProof/>
                <w:webHidden/>
                <w:color w:val="2F5496" w:themeColor="accent1" w:themeShade="BF"/>
                <w:sz w:val="28"/>
                <w:szCs w:val="28"/>
              </w:rPr>
              <w:fldChar w:fldCharType="separate"/>
            </w:r>
            <w:r w:rsidR="00E55207">
              <w:rPr>
                <w:noProof/>
                <w:webHidden/>
                <w:color w:val="2F5496" w:themeColor="accent1" w:themeShade="BF"/>
                <w:sz w:val="28"/>
                <w:szCs w:val="28"/>
              </w:rPr>
              <w:t>8</w:t>
            </w:r>
            <w:r w:rsidR="004A12E6" w:rsidRPr="00196CB2">
              <w:rPr>
                <w:noProof/>
                <w:webHidden/>
                <w:color w:val="2F5496" w:themeColor="accent1" w:themeShade="BF"/>
                <w:sz w:val="28"/>
                <w:szCs w:val="28"/>
              </w:rPr>
              <w:fldChar w:fldCharType="end"/>
            </w:r>
          </w:hyperlink>
        </w:p>
        <w:p w14:paraId="19687781" w14:textId="3F73CF3A" w:rsidR="004A12E6" w:rsidRPr="00196CB2" w:rsidRDefault="00CF4FA3" w:rsidP="004A12E6">
          <w:pPr>
            <w:pStyle w:val="TOC1"/>
            <w:tabs>
              <w:tab w:val="right" w:leader="dot" w:pos="9380"/>
            </w:tabs>
            <w:rPr>
              <w:noProof/>
              <w:color w:val="2F5496" w:themeColor="accent1" w:themeShade="BF"/>
              <w:sz w:val="32"/>
              <w:szCs w:val="32"/>
              <w:lang w:val="en-GB" w:eastAsia="en-GB"/>
            </w:rPr>
          </w:pPr>
          <w:hyperlink w:anchor="_Toc42074135" w:history="1">
            <w:r w:rsidR="004A12E6" w:rsidRPr="00196CB2">
              <w:rPr>
                <w:rStyle w:val="Hyperlink"/>
                <w:noProof/>
                <w:color w:val="2F5496" w:themeColor="accent1" w:themeShade="BF"/>
                <w:spacing w:val="-10"/>
                <w:sz w:val="28"/>
                <w:szCs w:val="28"/>
              </w:rPr>
              <w:t>Evaluation</w:t>
            </w:r>
            <w:r w:rsidR="004A12E6" w:rsidRPr="00196CB2">
              <w:rPr>
                <w:noProof/>
                <w:webHidden/>
                <w:color w:val="2F5496" w:themeColor="accent1" w:themeShade="BF"/>
                <w:sz w:val="28"/>
                <w:szCs w:val="28"/>
              </w:rPr>
              <w:tab/>
            </w:r>
            <w:r w:rsidR="004A12E6" w:rsidRPr="00196CB2">
              <w:rPr>
                <w:noProof/>
                <w:webHidden/>
                <w:color w:val="2F5496" w:themeColor="accent1" w:themeShade="BF"/>
                <w:sz w:val="28"/>
                <w:szCs w:val="28"/>
              </w:rPr>
              <w:fldChar w:fldCharType="begin"/>
            </w:r>
            <w:r w:rsidR="004A12E6" w:rsidRPr="00196CB2">
              <w:rPr>
                <w:noProof/>
                <w:webHidden/>
                <w:color w:val="2F5496" w:themeColor="accent1" w:themeShade="BF"/>
                <w:sz w:val="28"/>
                <w:szCs w:val="28"/>
              </w:rPr>
              <w:instrText xml:space="preserve"> PAGEREF _Toc42074135 \h </w:instrText>
            </w:r>
            <w:r w:rsidR="004A12E6" w:rsidRPr="00196CB2">
              <w:rPr>
                <w:noProof/>
                <w:webHidden/>
                <w:color w:val="2F5496" w:themeColor="accent1" w:themeShade="BF"/>
                <w:sz w:val="28"/>
                <w:szCs w:val="28"/>
              </w:rPr>
            </w:r>
            <w:r w:rsidR="004A12E6" w:rsidRPr="00196CB2">
              <w:rPr>
                <w:noProof/>
                <w:webHidden/>
                <w:color w:val="2F5496" w:themeColor="accent1" w:themeShade="BF"/>
                <w:sz w:val="28"/>
                <w:szCs w:val="28"/>
              </w:rPr>
              <w:fldChar w:fldCharType="separate"/>
            </w:r>
            <w:r w:rsidR="00E55207">
              <w:rPr>
                <w:noProof/>
                <w:webHidden/>
                <w:color w:val="2F5496" w:themeColor="accent1" w:themeShade="BF"/>
                <w:sz w:val="28"/>
                <w:szCs w:val="28"/>
              </w:rPr>
              <w:t>9</w:t>
            </w:r>
            <w:r w:rsidR="004A12E6" w:rsidRPr="00196CB2">
              <w:rPr>
                <w:noProof/>
                <w:webHidden/>
                <w:color w:val="2F5496" w:themeColor="accent1" w:themeShade="BF"/>
                <w:sz w:val="28"/>
                <w:szCs w:val="28"/>
              </w:rPr>
              <w:fldChar w:fldCharType="end"/>
            </w:r>
          </w:hyperlink>
        </w:p>
        <w:p w14:paraId="57BD3C25" w14:textId="746517B4" w:rsidR="004A12E6" w:rsidRPr="00196CB2" w:rsidRDefault="00CF4FA3" w:rsidP="004A12E6">
          <w:pPr>
            <w:pStyle w:val="TOC1"/>
            <w:tabs>
              <w:tab w:val="right" w:leader="dot" w:pos="9380"/>
            </w:tabs>
            <w:rPr>
              <w:noProof/>
              <w:color w:val="2F5496" w:themeColor="accent1" w:themeShade="BF"/>
              <w:sz w:val="32"/>
              <w:szCs w:val="32"/>
              <w:lang w:val="en-GB" w:eastAsia="en-GB"/>
            </w:rPr>
          </w:pPr>
          <w:hyperlink w:anchor="_Toc42074137" w:history="1">
            <w:r w:rsidR="004A12E6" w:rsidRPr="00196CB2">
              <w:rPr>
                <w:rStyle w:val="Hyperlink"/>
                <w:noProof/>
                <w:color w:val="2F5496" w:themeColor="accent1" w:themeShade="BF"/>
                <w:spacing w:val="-10"/>
                <w:sz w:val="28"/>
                <w:szCs w:val="28"/>
              </w:rPr>
              <w:t>Single Route of Redress National Trial Expenses</w:t>
            </w:r>
            <w:r w:rsidR="004A12E6" w:rsidRPr="00196CB2">
              <w:rPr>
                <w:noProof/>
                <w:webHidden/>
                <w:color w:val="2F5496" w:themeColor="accent1" w:themeShade="BF"/>
                <w:sz w:val="28"/>
                <w:szCs w:val="28"/>
              </w:rPr>
              <w:tab/>
            </w:r>
            <w:r w:rsidR="004A12E6" w:rsidRPr="00196CB2">
              <w:rPr>
                <w:noProof/>
                <w:webHidden/>
                <w:color w:val="2F5496" w:themeColor="accent1" w:themeShade="BF"/>
                <w:sz w:val="28"/>
                <w:szCs w:val="28"/>
              </w:rPr>
              <w:fldChar w:fldCharType="begin"/>
            </w:r>
            <w:r w:rsidR="004A12E6" w:rsidRPr="00196CB2">
              <w:rPr>
                <w:noProof/>
                <w:webHidden/>
                <w:color w:val="2F5496" w:themeColor="accent1" w:themeShade="BF"/>
                <w:sz w:val="28"/>
                <w:szCs w:val="28"/>
              </w:rPr>
              <w:instrText xml:space="preserve"> PAGEREF _Toc42074137 \h </w:instrText>
            </w:r>
            <w:r w:rsidR="004A12E6" w:rsidRPr="00196CB2">
              <w:rPr>
                <w:noProof/>
                <w:webHidden/>
                <w:color w:val="2F5496" w:themeColor="accent1" w:themeShade="BF"/>
                <w:sz w:val="28"/>
                <w:szCs w:val="28"/>
              </w:rPr>
            </w:r>
            <w:r w:rsidR="004A12E6" w:rsidRPr="00196CB2">
              <w:rPr>
                <w:noProof/>
                <w:webHidden/>
                <w:color w:val="2F5496" w:themeColor="accent1" w:themeShade="BF"/>
                <w:sz w:val="28"/>
                <w:szCs w:val="28"/>
              </w:rPr>
              <w:fldChar w:fldCharType="separate"/>
            </w:r>
            <w:r w:rsidR="00E55207">
              <w:rPr>
                <w:noProof/>
                <w:webHidden/>
                <w:color w:val="2F5496" w:themeColor="accent1" w:themeShade="BF"/>
                <w:sz w:val="28"/>
                <w:szCs w:val="28"/>
              </w:rPr>
              <w:t>9</w:t>
            </w:r>
            <w:r w:rsidR="004A12E6" w:rsidRPr="00196CB2">
              <w:rPr>
                <w:noProof/>
                <w:webHidden/>
                <w:color w:val="2F5496" w:themeColor="accent1" w:themeShade="BF"/>
                <w:sz w:val="28"/>
                <w:szCs w:val="28"/>
              </w:rPr>
              <w:fldChar w:fldCharType="end"/>
            </w:r>
          </w:hyperlink>
        </w:p>
        <w:p w14:paraId="11B93EB2" w14:textId="7397047C" w:rsidR="004A12E6" w:rsidRPr="00196CB2" w:rsidRDefault="00CF4FA3" w:rsidP="004A12E6">
          <w:pPr>
            <w:pStyle w:val="TOC1"/>
            <w:tabs>
              <w:tab w:val="right" w:leader="dot" w:pos="9380"/>
            </w:tabs>
            <w:rPr>
              <w:noProof/>
              <w:color w:val="2F5496" w:themeColor="accent1" w:themeShade="BF"/>
              <w:sz w:val="32"/>
              <w:szCs w:val="32"/>
              <w:lang w:val="en-GB" w:eastAsia="en-GB"/>
            </w:rPr>
          </w:pPr>
          <w:hyperlink w:anchor="_Toc42074140" w:history="1">
            <w:r w:rsidR="004A12E6" w:rsidRPr="00196CB2">
              <w:rPr>
                <w:rStyle w:val="Hyperlink"/>
                <w:noProof/>
                <w:color w:val="2F5496" w:themeColor="accent1" w:themeShade="BF"/>
                <w:spacing w:val="-9"/>
                <w:sz w:val="28"/>
                <w:szCs w:val="28"/>
              </w:rPr>
              <w:t xml:space="preserve">Advice </w:t>
            </w:r>
            <w:r w:rsidR="004A12E6" w:rsidRPr="00196CB2">
              <w:rPr>
                <w:rStyle w:val="Hyperlink"/>
                <w:noProof/>
                <w:color w:val="2F5496" w:themeColor="accent1" w:themeShade="BF"/>
                <w:spacing w:val="-6"/>
                <w:sz w:val="28"/>
                <w:szCs w:val="28"/>
              </w:rPr>
              <w:t xml:space="preserve">and </w:t>
            </w:r>
            <w:r w:rsidR="004A12E6" w:rsidRPr="00196CB2">
              <w:rPr>
                <w:rStyle w:val="Hyperlink"/>
                <w:noProof/>
                <w:color w:val="2F5496" w:themeColor="accent1" w:themeShade="BF"/>
                <w:spacing w:val="-9"/>
                <w:sz w:val="28"/>
                <w:szCs w:val="28"/>
              </w:rPr>
              <w:t>Support</w:t>
            </w:r>
            <w:r w:rsidR="004A12E6" w:rsidRPr="00196CB2">
              <w:rPr>
                <w:noProof/>
                <w:webHidden/>
                <w:color w:val="2F5496" w:themeColor="accent1" w:themeShade="BF"/>
                <w:sz w:val="28"/>
                <w:szCs w:val="28"/>
              </w:rPr>
              <w:tab/>
            </w:r>
            <w:r w:rsidR="004A12E6" w:rsidRPr="00196CB2">
              <w:rPr>
                <w:noProof/>
                <w:webHidden/>
                <w:color w:val="2F5496" w:themeColor="accent1" w:themeShade="BF"/>
                <w:sz w:val="28"/>
                <w:szCs w:val="28"/>
              </w:rPr>
              <w:fldChar w:fldCharType="begin"/>
            </w:r>
            <w:r w:rsidR="004A12E6" w:rsidRPr="00196CB2">
              <w:rPr>
                <w:noProof/>
                <w:webHidden/>
                <w:color w:val="2F5496" w:themeColor="accent1" w:themeShade="BF"/>
                <w:sz w:val="28"/>
                <w:szCs w:val="28"/>
              </w:rPr>
              <w:instrText xml:space="preserve"> PAGEREF _Toc42074140 \h </w:instrText>
            </w:r>
            <w:r w:rsidR="004A12E6" w:rsidRPr="00196CB2">
              <w:rPr>
                <w:noProof/>
                <w:webHidden/>
                <w:color w:val="2F5496" w:themeColor="accent1" w:themeShade="BF"/>
                <w:sz w:val="28"/>
                <w:szCs w:val="28"/>
              </w:rPr>
            </w:r>
            <w:r w:rsidR="004A12E6" w:rsidRPr="00196CB2">
              <w:rPr>
                <w:noProof/>
                <w:webHidden/>
                <w:color w:val="2F5496" w:themeColor="accent1" w:themeShade="BF"/>
                <w:sz w:val="28"/>
                <w:szCs w:val="28"/>
              </w:rPr>
              <w:fldChar w:fldCharType="separate"/>
            </w:r>
            <w:r w:rsidR="00E55207">
              <w:rPr>
                <w:noProof/>
                <w:webHidden/>
                <w:color w:val="2F5496" w:themeColor="accent1" w:themeShade="BF"/>
                <w:sz w:val="28"/>
                <w:szCs w:val="28"/>
              </w:rPr>
              <w:t>10</w:t>
            </w:r>
            <w:r w:rsidR="004A12E6" w:rsidRPr="00196CB2">
              <w:rPr>
                <w:noProof/>
                <w:webHidden/>
                <w:color w:val="2F5496" w:themeColor="accent1" w:themeShade="BF"/>
                <w:sz w:val="28"/>
                <w:szCs w:val="28"/>
              </w:rPr>
              <w:fldChar w:fldCharType="end"/>
            </w:r>
          </w:hyperlink>
        </w:p>
        <w:p w14:paraId="0AA6F1AF" w14:textId="28416900" w:rsidR="004A12E6" w:rsidRPr="00196CB2" w:rsidRDefault="00CF4FA3" w:rsidP="004A12E6">
          <w:pPr>
            <w:pStyle w:val="TOC1"/>
            <w:tabs>
              <w:tab w:val="right" w:leader="dot" w:pos="9380"/>
            </w:tabs>
            <w:rPr>
              <w:noProof/>
              <w:color w:val="2F5496" w:themeColor="accent1" w:themeShade="BF"/>
              <w:sz w:val="32"/>
              <w:szCs w:val="32"/>
              <w:lang w:val="en-GB" w:eastAsia="en-GB"/>
            </w:rPr>
          </w:pPr>
          <w:hyperlink w:anchor="_Toc42074143" w:history="1">
            <w:r w:rsidR="004A12E6" w:rsidRPr="00196CB2">
              <w:rPr>
                <w:rStyle w:val="Hyperlink"/>
                <w:noProof/>
                <w:color w:val="2F5496" w:themeColor="accent1" w:themeShade="BF"/>
                <w:spacing w:val="-9"/>
                <w:sz w:val="28"/>
                <w:szCs w:val="28"/>
              </w:rPr>
              <w:t>Helpful Documents and Information</w:t>
            </w:r>
            <w:r w:rsidR="004A12E6" w:rsidRPr="00196CB2">
              <w:rPr>
                <w:noProof/>
                <w:webHidden/>
                <w:color w:val="2F5496" w:themeColor="accent1" w:themeShade="BF"/>
                <w:sz w:val="28"/>
                <w:szCs w:val="28"/>
              </w:rPr>
              <w:tab/>
            </w:r>
            <w:r w:rsidR="004A12E6" w:rsidRPr="00196CB2">
              <w:rPr>
                <w:noProof/>
                <w:webHidden/>
                <w:color w:val="2F5496" w:themeColor="accent1" w:themeShade="BF"/>
                <w:sz w:val="28"/>
                <w:szCs w:val="28"/>
              </w:rPr>
              <w:fldChar w:fldCharType="begin"/>
            </w:r>
            <w:r w:rsidR="004A12E6" w:rsidRPr="00196CB2">
              <w:rPr>
                <w:noProof/>
                <w:webHidden/>
                <w:color w:val="2F5496" w:themeColor="accent1" w:themeShade="BF"/>
                <w:sz w:val="28"/>
                <w:szCs w:val="28"/>
              </w:rPr>
              <w:instrText xml:space="preserve"> PAGEREF _Toc42074143 \h </w:instrText>
            </w:r>
            <w:r w:rsidR="004A12E6" w:rsidRPr="00196CB2">
              <w:rPr>
                <w:noProof/>
                <w:webHidden/>
                <w:color w:val="2F5496" w:themeColor="accent1" w:themeShade="BF"/>
                <w:sz w:val="28"/>
                <w:szCs w:val="28"/>
              </w:rPr>
            </w:r>
            <w:r w:rsidR="004A12E6" w:rsidRPr="00196CB2">
              <w:rPr>
                <w:noProof/>
                <w:webHidden/>
                <w:color w:val="2F5496" w:themeColor="accent1" w:themeShade="BF"/>
                <w:sz w:val="28"/>
                <w:szCs w:val="28"/>
              </w:rPr>
              <w:fldChar w:fldCharType="separate"/>
            </w:r>
            <w:r w:rsidR="00E55207">
              <w:rPr>
                <w:noProof/>
                <w:webHidden/>
                <w:color w:val="2F5496" w:themeColor="accent1" w:themeShade="BF"/>
                <w:sz w:val="28"/>
                <w:szCs w:val="28"/>
              </w:rPr>
              <w:t>11</w:t>
            </w:r>
            <w:r w:rsidR="004A12E6" w:rsidRPr="00196CB2">
              <w:rPr>
                <w:noProof/>
                <w:webHidden/>
                <w:color w:val="2F5496" w:themeColor="accent1" w:themeShade="BF"/>
                <w:sz w:val="28"/>
                <w:szCs w:val="28"/>
              </w:rPr>
              <w:fldChar w:fldCharType="end"/>
            </w:r>
          </w:hyperlink>
        </w:p>
        <w:p w14:paraId="419270D6" w14:textId="0BE09266" w:rsidR="004A12E6" w:rsidRDefault="004A12E6" w:rsidP="004A12E6">
          <w:r w:rsidRPr="00196CB2">
            <w:rPr>
              <w:rFonts w:cstheme="minorHAnsi"/>
              <w:b/>
              <w:bCs/>
              <w:noProof/>
              <w:color w:val="2F5496" w:themeColor="accent1" w:themeShade="BF"/>
              <w:sz w:val="40"/>
              <w:szCs w:val="40"/>
            </w:rPr>
            <w:fldChar w:fldCharType="end"/>
          </w:r>
        </w:p>
      </w:sdtContent>
    </w:sdt>
    <w:p w14:paraId="29FF864E" w14:textId="77777777" w:rsidR="004A12E6" w:rsidRPr="0086443F" w:rsidRDefault="004A12E6" w:rsidP="004A12E6">
      <w:pPr>
        <w:pStyle w:val="BodyText"/>
        <w:rPr>
          <w:rFonts w:asciiTheme="minorHAnsi" w:hAnsiTheme="minorHAnsi"/>
          <w:sz w:val="26"/>
        </w:rPr>
      </w:pPr>
    </w:p>
    <w:p w14:paraId="4AD01987" w14:textId="77777777" w:rsidR="004A12E6" w:rsidRPr="0086443F" w:rsidRDefault="004A12E6" w:rsidP="004A12E6">
      <w:pPr>
        <w:pStyle w:val="BodyText"/>
        <w:rPr>
          <w:rFonts w:asciiTheme="minorHAnsi" w:hAnsiTheme="minorHAnsi"/>
          <w:sz w:val="26"/>
        </w:rPr>
      </w:pPr>
    </w:p>
    <w:p w14:paraId="2C703CEA" w14:textId="77777777" w:rsidR="004A12E6" w:rsidRDefault="004A12E6" w:rsidP="004A12E6">
      <w:pPr>
        <w:pStyle w:val="BodyText"/>
        <w:spacing w:before="4"/>
        <w:rPr>
          <w:rFonts w:asciiTheme="minorHAnsi" w:hAnsiTheme="minorHAnsi"/>
          <w:sz w:val="30"/>
        </w:rPr>
      </w:pPr>
    </w:p>
    <w:p w14:paraId="68DDB3EC" w14:textId="77777777" w:rsidR="004A12E6" w:rsidRDefault="004A12E6" w:rsidP="004A12E6">
      <w:pPr>
        <w:pStyle w:val="BodyText"/>
        <w:spacing w:before="4"/>
        <w:rPr>
          <w:rFonts w:asciiTheme="minorHAnsi" w:hAnsiTheme="minorHAnsi"/>
          <w:sz w:val="30"/>
        </w:rPr>
      </w:pPr>
    </w:p>
    <w:p w14:paraId="1C4C598D" w14:textId="77777777" w:rsidR="004A12E6" w:rsidRDefault="004A12E6" w:rsidP="004A12E6">
      <w:pPr>
        <w:pStyle w:val="BodyText"/>
        <w:spacing w:before="4"/>
        <w:rPr>
          <w:rFonts w:asciiTheme="minorHAnsi" w:hAnsiTheme="minorHAnsi"/>
          <w:sz w:val="30"/>
        </w:rPr>
      </w:pPr>
    </w:p>
    <w:p w14:paraId="38143085" w14:textId="77777777" w:rsidR="004A12E6" w:rsidRDefault="004A12E6" w:rsidP="004A12E6">
      <w:pPr>
        <w:pStyle w:val="BodyText"/>
        <w:spacing w:before="4"/>
        <w:rPr>
          <w:rFonts w:asciiTheme="minorHAnsi" w:hAnsiTheme="minorHAnsi"/>
          <w:sz w:val="30"/>
        </w:rPr>
      </w:pPr>
    </w:p>
    <w:p w14:paraId="79961DED" w14:textId="77777777" w:rsidR="004A12E6" w:rsidRPr="0086443F" w:rsidRDefault="004A12E6" w:rsidP="004A12E6">
      <w:pPr>
        <w:pStyle w:val="BodyText"/>
        <w:spacing w:before="4"/>
        <w:rPr>
          <w:rFonts w:asciiTheme="minorHAnsi" w:hAnsiTheme="minorHAnsi"/>
          <w:sz w:val="30"/>
        </w:rPr>
      </w:pPr>
    </w:p>
    <w:p w14:paraId="0F071578" w14:textId="77777777" w:rsidR="004A12E6" w:rsidRPr="0086443F" w:rsidRDefault="004A12E6" w:rsidP="004A12E6">
      <w:pPr>
        <w:pStyle w:val="Heading1"/>
        <w:spacing w:before="1"/>
        <w:rPr>
          <w:rFonts w:asciiTheme="minorHAnsi" w:hAnsiTheme="minorHAnsi"/>
        </w:rPr>
      </w:pPr>
      <w:r w:rsidRPr="0086443F">
        <w:rPr>
          <w:rFonts w:asciiTheme="minorHAnsi" w:hAnsiTheme="minorHAnsi"/>
          <w:spacing w:val="-80"/>
          <w:w w:val="99"/>
        </w:rPr>
        <w:lastRenderedPageBreak/>
        <w:t xml:space="preserve"> </w:t>
      </w:r>
      <w:bookmarkStart w:id="0" w:name="_Toc42074109"/>
      <w:r w:rsidRPr="0086443F">
        <w:rPr>
          <w:rFonts w:asciiTheme="minorHAnsi" w:hAnsiTheme="minorHAnsi"/>
          <w:spacing w:val="-8"/>
        </w:rPr>
        <w:t xml:space="preserve">The </w:t>
      </w:r>
      <w:r w:rsidRPr="0086443F">
        <w:rPr>
          <w:rFonts w:asciiTheme="minorHAnsi" w:hAnsiTheme="minorHAnsi"/>
          <w:spacing w:val="-10"/>
        </w:rPr>
        <w:t>Basics</w:t>
      </w:r>
      <w:bookmarkEnd w:id="0"/>
    </w:p>
    <w:p w14:paraId="1DCF668D" w14:textId="77777777" w:rsidR="004A12E6" w:rsidRPr="0086443F" w:rsidRDefault="004A12E6" w:rsidP="004A12E6">
      <w:pPr>
        <w:pStyle w:val="BodyText"/>
        <w:rPr>
          <w:rFonts w:asciiTheme="minorHAnsi" w:hAnsiTheme="minorHAnsi"/>
          <w:b/>
          <w:sz w:val="20"/>
        </w:rPr>
      </w:pPr>
    </w:p>
    <w:p w14:paraId="389DED6A" w14:textId="77C36974" w:rsidR="004A12E6" w:rsidRPr="0086443F" w:rsidRDefault="004A12E6" w:rsidP="004A12E6">
      <w:pPr>
        <w:pStyle w:val="Heading2"/>
        <w:spacing w:before="221"/>
        <w:rPr>
          <w:rFonts w:asciiTheme="minorHAnsi" w:hAnsiTheme="minorHAnsi"/>
        </w:rPr>
      </w:pPr>
      <w:bookmarkStart w:id="1" w:name="_Toc40779875"/>
      <w:bookmarkStart w:id="2" w:name="_Toc42074110"/>
      <w:r w:rsidRPr="0086443F">
        <w:rPr>
          <w:rFonts w:asciiTheme="minorHAnsi" w:hAnsiTheme="minorHAnsi"/>
        </w:rPr>
        <w:t xml:space="preserve">What </w:t>
      </w:r>
      <w:r w:rsidR="00C478B3">
        <w:rPr>
          <w:rFonts w:asciiTheme="minorHAnsi" w:hAnsiTheme="minorHAnsi"/>
        </w:rPr>
        <w:t>was</w:t>
      </w:r>
      <w:r w:rsidRPr="0086443F">
        <w:rPr>
          <w:rFonts w:asciiTheme="minorHAnsi" w:hAnsiTheme="minorHAnsi"/>
        </w:rPr>
        <w:t xml:space="preserve"> the SEND single route of redress national trial?</w:t>
      </w:r>
      <w:bookmarkEnd w:id="1"/>
      <w:bookmarkEnd w:id="2"/>
    </w:p>
    <w:p w14:paraId="1DA9CC35" w14:textId="5D30EB06" w:rsidR="004A12E6" w:rsidRPr="0086443F" w:rsidRDefault="004A12E6" w:rsidP="004A12E6">
      <w:pPr>
        <w:pStyle w:val="BodyText"/>
        <w:spacing w:before="120"/>
        <w:ind w:right="265"/>
        <w:rPr>
          <w:rFonts w:asciiTheme="minorHAnsi" w:hAnsiTheme="minorHAnsi"/>
        </w:rPr>
      </w:pPr>
      <w:r w:rsidRPr="0086443F">
        <w:rPr>
          <w:rFonts w:asciiTheme="minorHAnsi" w:hAnsiTheme="minorHAnsi"/>
        </w:rPr>
        <w:t>The trial g</w:t>
      </w:r>
      <w:r w:rsidR="00C478B3">
        <w:rPr>
          <w:rFonts w:asciiTheme="minorHAnsi" w:hAnsiTheme="minorHAnsi"/>
        </w:rPr>
        <w:t>ave</w:t>
      </w:r>
      <w:r w:rsidRPr="0086443F">
        <w:rPr>
          <w:rFonts w:asciiTheme="minorHAnsi" w:hAnsiTheme="minorHAnsi"/>
        </w:rPr>
        <w:t xml:space="preserve"> parents and young people who are making a SEND appeal the opportunity to request recommendations about the health and social care needs and provision sections in Education, Health and Care (EHC) plans, in addition to the educational aspects. This applies for all SEND appeals apart from those that are only about carrying out an EHC needs assessment. The trial began on 3 April 2018 and </w:t>
      </w:r>
      <w:r w:rsidR="00427F61">
        <w:rPr>
          <w:rFonts w:asciiTheme="minorHAnsi" w:hAnsiTheme="minorHAnsi"/>
        </w:rPr>
        <w:t>ran</w:t>
      </w:r>
      <w:r w:rsidRPr="0086443F">
        <w:rPr>
          <w:rFonts w:asciiTheme="minorHAnsi" w:hAnsiTheme="minorHAnsi"/>
        </w:rPr>
        <w:t xml:space="preserve"> until 31 August 20</w:t>
      </w:r>
      <w:r w:rsidR="00E12B9F">
        <w:rPr>
          <w:rFonts w:asciiTheme="minorHAnsi" w:hAnsiTheme="minorHAnsi"/>
        </w:rPr>
        <w:t>21</w:t>
      </w:r>
      <w:r w:rsidRPr="0086443F">
        <w:rPr>
          <w:rFonts w:asciiTheme="minorHAnsi" w:hAnsiTheme="minorHAnsi"/>
        </w:rPr>
        <w:t>.</w:t>
      </w:r>
      <w:r w:rsidR="00C478B3">
        <w:rPr>
          <w:rFonts w:asciiTheme="minorHAnsi" w:hAnsiTheme="minorHAnsi"/>
        </w:rPr>
        <w:t xml:space="preserve"> </w:t>
      </w:r>
      <w:r w:rsidR="005B7002">
        <w:rPr>
          <w:rFonts w:asciiTheme="minorHAnsi" w:hAnsiTheme="minorHAnsi"/>
        </w:rPr>
        <w:t>T</w:t>
      </w:r>
      <w:r w:rsidR="005B7002" w:rsidRPr="005B7002">
        <w:rPr>
          <w:rFonts w:asciiTheme="minorHAnsi" w:hAnsiTheme="minorHAnsi"/>
        </w:rPr>
        <w:t xml:space="preserve">he Department for Education </w:t>
      </w:r>
      <w:r w:rsidR="00427F61">
        <w:rPr>
          <w:rFonts w:asciiTheme="minorHAnsi" w:hAnsiTheme="minorHAnsi"/>
        </w:rPr>
        <w:t xml:space="preserve">has </w:t>
      </w:r>
      <w:r w:rsidR="005B7002" w:rsidRPr="005B7002">
        <w:rPr>
          <w:rFonts w:asciiTheme="minorHAnsi" w:hAnsiTheme="minorHAnsi"/>
        </w:rPr>
        <w:t>it will be continuing the extended powers given to the SEND Tribunal</w:t>
      </w:r>
      <w:r w:rsidR="00427F61">
        <w:rPr>
          <w:rFonts w:asciiTheme="minorHAnsi" w:hAnsiTheme="minorHAnsi"/>
        </w:rPr>
        <w:t xml:space="preserve"> following the end of the National Trial</w:t>
      </w:r>
      <w:r w:rsidR="005B7002">
        <w:rPr>
          <w:rFonts w:asciiTheme="minorHAnsi" w:hAnsiTheme="minorHAnsi"/>
        </w:rPr>
        <w:t>.</w:t>
      </w:r>
    </w:p>
    <w:p w14:paraId="160BD8C9" w14:textId="77777777" w:rsidR="004A12E6" w:rsidRPr="0086443F" w:rsidRDefault="004A12E6" w:rsidP="004A12E6">
      <w:pPr>
        <w:pStyle w:val="BodyText"/>
        <w:rPr>
          <w:rFonts w:asciiTheme="minorHAnsi" w:hAnsiTheme="minorHAnsi"/>
        </w:rPr>
      </w:pPr>
    </w:p>
    <w:p w14:paraId="5F884E17" w14:textId="1A8D30CC" w:rsidR="004A12E6" w:rsidRPr="0086443F" w:rsidRDefault="004A12E6" w:rsidP="004A12E6">
      <w:pPr>
        <w:pStyle w:val="Heading2"/>
        <w:spacing w:before="1"/>
        <w:rPr>
          <w:rFonts w:asciiTheme="minorHAnsi" w:hAnsiTheme="minorHAnsi"/>
        </w:rPr>
      </w:pPr>
      <w:bookmarkStart w:id="3" w:name="_Toc40779876"/>
      <w:bookmarkStart w:id="4" w:name="_Toc42074111"/>
      <w:r w:rsidRPr="0086443F">
        <w:rPr>
          <w:rFonts w:asciiTheme="minorHAnsi" w:hAnsiTheme="minorHAnsi"/>
        </w:rPr>
        <w:t xml:space="preserve">What </w:t>
      </w:r>
      <w:r w:rsidR="005B7002">
        <w:rPr>
          <w:rFonts w:asciiTheme="minorHAnsi" w:hAnsiTheme="minorHAnsi"/>
        </w:rPr>
        <w:t>are the SEND Tribunal</w:t>
      </w:r>
      <w:r w:rsidR="00427F61">
        <w:rPr>
          <w:rFonts w:asciiTheme="minorHAnsi" w:hAnsiTheme="minorHAnsi"/>
        </w:rPr>
        <w:t>’s</w:t>
      </w:r>
      <w:r w:rsidR="005B7002">
        <w:rPr>
          <w:rFonts w:asciiTheme="minorHAnsi" w:hAnsiTheme="minorHAnsi"/>
        </w:rPr>
        <w:t xml:space="preserve"> extended powers</w:t>
      </w:r>
      <w:r w:rsidRPr="0086443F">
        <w:rPr>
          <w:rFonts w:asciiTheme="minorHAnsi" w:hAnsiTheme="minorHAnsi"/>
        </w:rPr>
        <w:t>?</w:t>
      </w:r>
      <w:bookmarkEnd w:id="3"/>
      <w:bookmarkEnd w:id="4"/>
    </w:p>
    <w:p w14:paraId="0B28B59B" w14:textId="6FBAD5B2" w:rsidR="004A12E6" w:rsidRPr="0086443F" w:rsidRDefault="007E2804" w:rsidP="004A12E6">
      <w:pPr>
        <w:pStyle w:val="BodyText"/>
        <w:spacing w:before="120"/>
        <w:ind w:right="312"/>
        <w:rPr>
          <w:rFonts w:asciiTheme="minorHAnsi" w:hAnsiTheme="minorHAnsi"/>
        </w:rPr>
      </w:pPr>
      <w:r w:rsidRPr="0086443F">
        <w:rPr>
          <w:rFonts w:asciiTheme="minorHAnsi" w:hAnsiTheme="minorHAnsi"/>
        </w:rPr>
        <w:t xml:space="preserve">The </w:t>
      </w:r>
      <w:r>
        <w:rPr>
          <w:rFonts w:asciiTheme="minorHAnsi" w:hAnsiTheme="minorHAnsi"/>
        </w:rPr>
        <w:t>SEND</w:t>
      </w:r>
      <w:r w:rsidR="00427F61">
        <w:rPr>
          <w:rFonts w:asciiTheme="minorHAnsi" w:hAnsiTheme="minorHAnsi"/>
        </w:rPr>
        <w:t xml:space="preserve"> Tribunal’s </w:t>
      </w:r>
      <w:r w:rsidR="00AA4DF3">
        <w:rPr>
          <w:rFonts w:asciiTheme="minorHAnsi" w:hAnsiTheme="minorHAnsi"/>
        </w:rPr>
        <w:t xml:space="preserve">extended powers </w:t>
      </w:r>
      <w:r w:rsidR="00427F61" w:rsidRPr="007E2804">
        <w:rPr>
          <w:rFonts w:asciiTheme="minorHAnsi" w:hAnsiTheme="minorHAnsi"/>
        </w:rPr>
        <w:t xml:space="preserve">enables </w:t>
      </w:r>
      <w:r w:rsidR="00AA4DF3" w:rsidRPr="007E2804">
        <w:rPr>
          <w:rFonts w:asciiTheme="minorHAnsi" w:hAnsiTheme="minorHAnsi"/>
        </w:rPr>
        <w:t>the</w:t>
      </w:r>
      <w:r w:rsidR="00427F61" w:rsidRPr="007E2804">
        <w:rPr>
          <w:rFonts w:asciiTheme="minorHAnsi" w:hAnsiTheme="minorHAnsi"/>
        </w:rPr>
        <w:t xml:space="preserve"> Tribunal </w:t>
      </w:r>
      <w:r w:rsidR="004A12E6" w:rsidRPr="0086443F">
        <w:rPr>
          <w:rFonts w:asciiTheme="minorHAnsi" w:hAnsiTheme="minorHAnsi"/>
        </w:rPr>
        <w:t>to make non-binding recommendations on the health and social care aspects of EHC plans.</w:t>
      </w:r>
    </w:p>
    <w:p w14:paraId="33CBA857" w14:textId="6E2F9923" w:rsidR="004A12E6" w:rsidRPr="0086443F" w:rsidRDefault="004A12E6" w:rsidP="004A12E6">
      <w:pPr>
        <w:pStyle w:val="BodyText"/>
        <w:spacing w:before="120"/>
        <w:ind w:right="271"/>
        <w:rPr>
          <w:rFonts w:asciiTheme="minorHAnsi" w:hAnsiTheme="minorHAnsi"/>
        </w:rPr>
      </w:pPr>
      <w:r w:rsidRPr="0086443F">
        <w:rPr>
          <w:rFonts w:asciiTheme="minorHAnsi" w:hAnsiTheme="minorHAnsi"/>
        </w:rPr>
        <w:t xml:space="preserve">This gives parents and young people a ‘single route’ to raise all their concerns about an EHC plan in one place. Parents and young people are able to appeal to the SEND Tribunal about decisions concerning all three aspects of Education, Health </w:t>
      </w:r>
      <w:r w:rsidR="00427F61">
        <w:rPr>
          <w:rFonts w:asciiTheme="minorHAnsi" w:hAnsiTheme="minorHAnsi"/>
        </w:rPr>
        <w:t xml:space="preserve">and Social Care </w:t>
      </w:r>
      <w:r>
        <w:rPr>
          <w:rFonts w:asciiTheme="minorHAnsi" w:hAnsiTheme="minorHAnsi"/>
        </w:rPr>
        <w:t>– but only if there is an educational element to the appeal.</w:t>
      </w:r>
    </w:p>
    <w:p w14:paraId="2A1A9B18" w14:textId="350E9658" w:rsidR="004A12E6" w:rsidRPr="0086443F" w:rsidRDefault="004A12E6" w:rsidP="004A12E6">
      <w:pPr>
        <w:pStyle w:val="BodyText"/>
        <w:ind w:right="240"/>
        <w:rPr>
          <w:rFonts w:asciiTheme="minorHAnsi" w:hAnsiTheme="minorHAnsi"/>
        </w:rPr>
      </w:pPr>
      <w:r w:rsidRPr="0086443F">
        <w:rPr>
          <w:rFonts w:asciiTheme="minorHAnsi" w:hAnsiTheme="minorHAnsi"/>
        </w:rPr>
        <w:t>In practice</w:t>
      </w:r>
      <w:r w:rsidR="001019ED">
        <w:rPr>
          <w:rFonts w:asciiTheme="minorHAnsi" w:hAnsiTheme="minorHAnsi"/>
        </w:rPr>
        <w:t>,</w:t>
      </w:r>
      <w:r w:rsidRPr="0086443F">
        <w:rPr>
          <w:rFonts w:asciiTheme="minorHAnsi" w:hAnsiTheme="minorHAnsi"/>
        </w:rPr>
        <w:t xml:space="preserve"> this mean</w:t>
      </w:r>
      <w:r w:rsidR="001019ED">
        <w:rPr>
          <w:rFonts w:asciiTheme="minorHAnsi" w:hAnsiTheme="minorHAnsi"/>
        </w:rPr>
        <w:t>s</w:t>
      </w:r>
      <w:r w:rsidRPr="0086443F">
        <w:rPr>
          <w:rFonts w:asciiTheme="minorHAnsi" w:hAnsiTheme="minorHAnsi"/>
        </w:rPr>
        <w:t xml:space="preserve"> that parents, local authorities and health </w:t>
      </w:r>
      <w:r w:rsidR="00751E70" w:rsidRPr="0086443F">
        <w:rPr>
          <w:rFonts w:asciiTheme="minorHAnsi" w:hAnsiTheme="minorHAnsi"/>
        </w:rPr>
        <w:t>commissioners</w:t>
      </w:r>
      <w:r w:rsidR="00751E70" w:rsidRPr="00872E78">
        <w:rPr>
          <w:rFonts w:asciiTheme="minorHAnsi" w:hAnsiTheme="minorHAnsi"/>
          <w:spacing w:val="-35"/>
        </w:rPr>
        <w:t xml:space="preserve"> </w:t>
      </w:r>
      <w:r w:rsidR="00751E70">
        <w:rPr>
          <w:rFonts w:asciiTheme="minorHAnsi" w:hAnsiTheme="minorHAnsi"/>
        </w:rPr>
        <w:t>will</w:t>
      </w:r>
      <w:r w:rsidR="001019ED">
        <w:rPr>
          <w:rFonts w:asciiTheme="minorHAnsi" w:hAnsiTheme="minorHAnsi"/>
        </w:rPr>
        <w:t xml:space="preserve"> need</w:t>
      </w:r>
      <w:r w:rsidRPr="0086443F">
        <w:rPr>
          <w:rFonts w:asciiTheme="minorHAnsi" w:hAnsiTheme="minorHAnsi"/>
        </w:rPr>
        <w:t xml:space="preserve"> to provide evidence and arguments for the health and social care issues. More witnesses </w:t>
      </w:r>
      <w:r w:rsidR="00427F61">
        <w:rPr>
          <w:rFonts w:asciiTheme="minorHAnsi" w:hAnsiTheme="minorHAnsi"/>
        </w:rPr>
        <w:t>are</w:t>
      </w:r>
      <w:r w:rsidRPr="0086443F">
        <w:rPr>
          <w:rFonts w:asciiTheme="minorHAnsi" w:hAnsiTheme="minorHAnsi"/>
        </w:rPr>
        <w:t xml:space="preserve"> allowed to attend a hearing, and th</w:t>
      </w:r>
      <w:r w:rsidR="00427F61">
        <w:rPr>
          <w:rFonts w:asciiTheme="minorHAnsi" w:hAnsiTheme="minorHAnsi"/>
        </w:rPr>
        <w:t>ey</w:t>
      </w:r>
      <w:r w:rsidRPr="0086443F">
        <w:rPr>
          <w:rFonts w:asciiTheme="minorHAnsi" w:hAnsiTheme="minorHAnsi"/>
        </w:rPr>
        <w:t xml:space="preserve"> may take two days instead of one. Health and social care commissioners will need to let parents and the local authority know what steps they have decided to take or their reasons for any decision not to follow the</w:t>
      </w:r>
      <w:r w:rsidRPr="0086443F">
        <w:rPr>
          <w:rFonts w:asciiTheme="minorHAnsi" w:hAnsiTheme="minorHAnsi"/>
          <w:spacing w:val="-12"/>
        </w:rPr>
        <w:t xml:space="preserve"> </w:t>
      </w:r>
      <w:r w:rsidRPr="0086443F">
        <w:rPr>
          <w:rFonts w:asciiTheme="minorHAnsi" w:hAnsiTheme="minorHAnsi"/>
        </w:rPr>
        <w:t>recommendations.</w:t>
      </w:r>
    </w:p>
    <w:p w14:paraId="59BCBC16" w14:textId="77777777" w:rsidR="004A12E6" w:rsidRPr="0086443F" w:rsidRDefault="004A12E6" w:rsidP="004A12E6">
      <w:pPr>
        <w:pStyle w:val="BodyText"/>
        <w:spacing w:before="5"/>
        <w:rPr>
          <w:rFonts w:asciiTheme="minorHAnsi" w:hAnsiTheme="minorHAnsi"/>
          <w:sz w:val="34"/>
        </w:rPr>
      </w:pPr>
    </w:p>
    <w:p w14:paraId="38888610" w14:textId="77777777" w:rsidR="004A12E6" w:rsidRPr="0086443F" w:rsidRDefault="004A12E6" w:rsidP="004A12E6">
      <w:pPr>
        <w:pStyle w:val="Heading2"/>
        <w:spacing w:before="1"/>
        <w:rPr>
          <w:rFonts w:asciiTheme="minorHAnsi" w:hAnsiTheme="minorHAnsi"/>
        </w:rPr>
      </w:pPr>
      <w:bookmarkStart w:id="5" w:name="_Toc40779877"/>
      <w:bookmarkStart w:id="6" w:name="_Toc42074112"/>
      <w:r w:rsidRPr="0086443F">
        <w:rPr>
          <w:rFonts w:asciiTheme="minorHAnsi" w:hAnsiTheme="minorHAnsi"/>
        </w:rPr>
        <w:t>What can you go to the SEND Tribunal about?</w:t>
      </w:r>
      <w:bookmarkEnd w:id="5"/>
      <w:bookmarkEnd w:id="6"/>
    </w:p>
    <w:p w14:paraId="688BE721" w14:textId="77777777" w:rsidR="004A12E6" w:rsidRPr="0086443F" w:rsidRDefault="00CF4FA3" w:rsidP="004A12E6">
      <w:pPr>
        <w:pStyle w:val="BodyText"/>
        <w:spacing w:before="120"/>
        <w:ind w:right="424"/>
        <w:rPr>
          <w:rFonts w:asciiTheme="minorHAnsi" w:hAnsiTheme="minorHAnsi"/>
        </w:rPr>
      </w:pPr>
      <w:hyperlink r:id="rId13">
        <w:r w:rsidR="004A12E6" w:rsidRPr="0086443F">
          <w:rPr>
            <w:rFonts w:asciiTheme="minorHAnsi" w:hAnsiTheme="minorHAnsi"/>
            <w:color w:val="0462C1"/>
            <w:u w:val="single" w:color="0462C1"/>
          </w:rPr>
          <w:t>Regulations</w:t>
        </w:r>
        <w:r w:rsidR="004A12E6" w:rsidRPr="0086443F">
          <w:rPr>
            <w:rFonts w:asciiTheme="minorHAnsi" w:hAnsiTheme="minorHAnsi"/>
            <w:color w:val="0462C1"/>
          </w:rPr>
          <w:t xml:space="preserve"> </w:t>
        </w:r>
      </w:hyperlink>
      <w:r w:rsidR="004A12E6" w:rsidRPr="0086443F">
        <w:rPr>
          <w:rFonts w:asciiTheme="minorHAnsi" w:hAnsiTheme="minorHAnsi"/>
        </w:rPr>
        <w:t>set out the extended powers which explain that the Tribunal can make non-binding recommendations on:</w:t>
      </w:r>
    </w:p>
    <w:p w14:paraId="5A2EDC97" w14:textId="77777777" w:rsidR="004A12E6" w:rsidRPr="0086443F" w:rsidRDefault="004A12E6" w:rsidP="004A12E6">
      <w:pPr>
        <w:pStyle w:val="ListParagraph"/>
        <w:numPr>
          <w:ilvl w:val="0"/>
          <w:numId w:val="1"/>
        </w:numPr>
        <w:tabs>
          <w:tab w:val="left" w:pos="520"/>
          <w:tab w:val="left" w:pos="521"/>
        </w:tabs>
        <w:spacing w:before="1" w:line="292" w:lineRule="exact"/>
        <w:ind w:left="567" w:hanging="578"/>
        <w:rPr>
          <w:sz w:val="24"/>
        </w:rPr>
      </w:pPr>
      <w:r w:rsidRPr="0086443F">
        <w:rPr>
          <w:sz w:val="24"/>
        </w:rPr>
        <w:t>the health and social care needs specified in EHC</w:t>
      </w:r>
      <w:r w:rsidRPr="0086443F">
        <w:rPr>
          <w:spacing w:val="-8"/>
          <w:sz w:val="24"/>
        </w:rPr>
        <w:t xml:space="preserve"> </w:t>
      </w:r>
      <w:r w:rsidRPr="0086443F">
        <w:rPr>
          <w:sz w:val="24"/>
        </w:rPr>
        <w:t>plans</w:t>
      </w:r>
    </w:p>
    <w:p w14:paraId="52D17382" w14:textId="781BC9CF" w:rsidR="004A12E6" w:rsidRPr="0071617F" w:rsidRDefault="004A12E6" w:rsidP="0071617F">
      <w:pPr>
        <w:pStyle w:val="ListParagraph"/>
        <w:numPr>
          <w:ilvl w:val="0"/>
          <w:numId w:val="1"/>
        </w:numPr>
        <w:tabs>
          <w:tab w:val="left" w:pos="520"/>
          <w:tab w:val="left" w:pos="521"/>
        </w:tabs>
        <w:ind w:left="567" w:right="235" w:hanging="578"/>
        <w:rPr>
          <w:sz w:val="24"/>
        </w:rPr>
      </w:pPr>
      <w:r w:rsidRPr="0086443F">
        <w:rPr>
          <w:sz w:val="24"/>
        </w:rPr>
        <w:t>the health and social care provision specified in EHC plans related to the lea</w:t>
      </w:r>
      <w:r w:rsidRPr="0071617F">
        <w:rPr>
          <w:sz w:val="24"/>
        </w:rPr>
        <w:t>rning difficulties or disabilities that result in the child or young person having</w:t>
      </w:r>
      <w:r w:rsidRPr="0071617F">
        <w:rPr>
          <w:spacing w:val="-22"/>
          <w:sz w:val="24"/>
        </w:rPr>
        <w:t xml:space="preserve"> </w:t>
      </w:r>
      <w:r w:rsidRPr="0071617F">
        <w:rPr>
          <w:sz w:val="24"/>
        </w:rPr>
        <w:t>SEN</w:t>
      </w:r>
    </w:p>
    <w:p w14:paraId="48491639" w14:textId="77777777" w:rsidR="004A12E6" w:rsidRPr="0086443F" w:rsidRDefault="004A12E6" w:rsidP="004A12E6">
      <w:pPr>
        <w:pStyle w:val="ListParagraph"/>
        <w:numPr>
          <w:ilvl w:val="0"/>
          <w:numId w:val="1"/>
        </w:numPr>
        <w:tabs>
          <w:tab w:val="left" w:pos="520"/>
          <w:tab w:val="left" w:pos="521"/>
        </w:tabs>
        <w:ind w:left="567" w:right="425" w:hanging="578"/>
        <w:rPr>
          <w:sz w:val="24"/>
        </w:rPr>
      </w:pPr>
      <w:r w:rsidRPr="0086443F">
        <w:rPr>
          <w:sz w:val="24"/>
        </w:rPr>
        <w:t>the social care provision specified in EHC plans that is made under Section 2</w:t>
      </w:r>
      <w:r w:rsidRPr="0086443F">
        <w:rPr>
          <w:spacing w:val="-27"/>
          <w:sz w:val="24"/>
        </w:rPr>
        <w:t xml:space="preserve"> </w:t>
      </w:r>
      <w:r w:rsidRPr="0086443F">
        <w:rPr>
          <w:sz w:val="24"/>
        </w:rPr>
        <w:t>of the Chronically Sick and Disabled Persons Act</w:t>
      </w:r>
      <w:r w:rsidRPr="0086443F">
        <w:rPr>
          <w:spacing w:val="-5"/>
          <w:sz w:val="24"/>
        </w:rPr>
        <w:t xml:space="preserve"> </w:t>
      </w:r>
      <w:r w:rsidRPr="0086443F">
        <w:rPr>
          <w:sz w:val="24"/>
        </w:rPr>
        <w:t>1970</w:t>
      </w:r>
    </w:p>
    <w:p w14:paraId="36E653F0" w14:textId="77777777" w:rsidR="004A12E6" w:rsidRPr="0086443F" w:rsidRDefault="004A12E6" w:rsidP="004A12E6">
      <w:pPr>
        <w:pStyle w:val="BodyText"/>
        <w:spacing w:before="6"/>
        <w:rPr>
          <w:rFonts w:asciiTheme="minorHAnsi" w:hAnsiTheme="minorHAnsi"/>
          <w:sz w:val="23"/>
        </w:rPr>
      </w:pPr>
    </w:p>
    <w:p w14:paraId="3D2EDFC0" w14:textId="77777777" w:rsidR="004A12E6" w:rsidRPr="0086443F" w:rsidRDefault="004A12E6" w:rsidP="004A12E6">
      <w:pPr>
        <w:spacing w:before="1"/>
        <w:rPr>
          <w:sz w:val="24"/>
        </w:rPr>
      </w:pPr>
      <w:r w:rsidRPr="0086443F">
        <w:rPr>
          <w:sz w:val="24"/>
        </w:rPr>
        <w:t xml:space="preserve">This </w:t>
      </w:r>
      <w:r w:rsidRPr="0086443F">
        <w:rPr>
          <w:b/>
          <w:sz w:val="24"/>
        </w:rPr>
        <w:t xml:space="preserve">needs to be part of a SEND appeal </w:t>
      </w:r>
      <w:r w:rsidRPr="0086443F">
        <w:rPr>
          <w:sz w:val="24"/>
        </w:rPr>
        <w:t>by a parent or young person relating to:</w:t>
      </w:r>
    </w:p>
    <w:p w14:paraId="4A4AA01E" w14:textId="77777777" w:rsidR="004A12E6" w:rsidRPr="0086443F" w:rsidRDefault="004A12E6" w:rsidP="004A12E6">
      <w:pPr>
        <w:pStyle w:val="ListParagraph"/>
        <w:numPr>
          <w:ilvl w:val="0"/>
          <w:numId w:val="2"/>
        </w:numPr>
        <w:tabs>
          <w:tab w:val="left" w:pos="520"/>
          <w:tab w:val="left" w:pos="521"/>
        </w:tabs>
        <w:ind w:left="567" w:hanging="425"/>
        <w:rPr>
          <w:sz w:val="24"/>
        </w:rPr>
      </w:pPr>
      <w:r w:rsidRPr="0086443F">
        <w:rPr>
          <w:sz w:val="24"/>
        </w:rPr>
        <w:t>a decision by the LA not to issue an EHC</w:t>
      </w:r>
      <w:r w:rsidRPr="0086443F">
        <w:rPr>
          <w:spacing w:val="-14"/>
          <w:sz w:val="24"/>
        </w:rPr>
        <w:t xml:space="preserve"> </w:t>
      </w:r>
      <w:r w:rsidRPr="0086443F">
        <w:rPr>
          <w:sz w:val="24"/>
        </w:rPr>
        <w:t>plan</w:t>
      </w:r>
    </w:p>
    <w:p w14:paraId="2BED70CC" w14:textId="77777777" w:rsidR="004A12E6" w:rsidRPr="0086443F" w:rsidRDefault="004A12E6" w:rsidP="004A12E6">
      <w:pPr>
        <w:pStyle w:val="ListParagraph"/>
        <w:numPr>
          <w:ilvl w:val="0"/>
          <w:numId w:val="2"/>
        </w:numPr>
        <w:tabs>
          <w:tab w:val="left" w:pos="520"/>
          <w:tab w:val="left" w:pos="521"/>
        </w:tabs>
        <w:spacing w:before="107"/>
        <w:ind w:left="567" w:right="567" w:hanging="425"/>
        <w:rPr>
          <w:sz w:val="24"/>
        </w:rPr>
      </w:pPr>
      <w:r w:rsidRPr="0086443F">
        <w:rPr>
          <w:sz w:val="24"/>
        </w:rPr>
        <w:lastRenderedPageBreak/>
        <w:t>a decision by the LA not to carry out a re-assessment for a child/young person who has an EHC</w:t>
      </w:r>
      <w:r w:rsidRPr="0086443F">
        <w:rPr>
          <w:spacing w:val="-4"/>
          <w:sz w:val="24"/>
        </w:rPr>
        <w:t xml:space="preserve"> </w:t>
      </w:r>
      <w:r w:rsidRPr="0086443F">
        <w:rPr>
          <w:sz w:val="24"/>
        </w:rPr>
        <w:t>plan</w:t>
      </w:r>
    </w:p>
    <w:p w14:paraId="4F0D0A0A" w14:textId="77777777" w:rsidR="004A12E6" w:rsidRPr="0086443F" w:rsidRDefault="004A12E6" w:rsidP="004A12E6">
      <w:pPr>
        <w:pStyle w:val="ListParagraph"/>
        <w:numPr>
          <w:ilvl w:val="0"/>
          <w:numId w:val="2"/>
        </w:numPr>
        <w:tabs>
          <w:tab w:val="left" w:pos="520"/>
          <w:tab w:val="left" w:pos="521"/>
        </w:tabs>
        <w:spacing w:before="107"/>
        <w:ind w:left="567" w:right="34" w:hanging="425"/>
        <w:rPr>
          <w:sz w:val="24"/>
        </w:rPr>
      </w:pPr>
      <w:r w:rsidRPr="0086443F">
        <w:rPr>
          <w:sz w:val="24"/>
        </w:rPr>
        <w:t xml:space="preserve">a decision by the LA not to amend an EHC plan following a review or </w:t>
      </w:r>
      <w:r w:rsidRPr="0086443F">
        <w:rPr>
          <w:spacing w:val="2"/>
          <w:sz w:val="24"/>
        </w:rPr>
        <w:t>re-</w:t>
      </w:r>
      <w:r w:rsidRPr="0086443F">
        <w:rPr>
          <w:sz w:val="24"/>
        </w:rPr>
        <w:t>assessment</w:t>
      </w:r>
    </w:p>
    <w:p w14:paraId="424709DC" w14:textId="77777777" w:rsidR="004A12E6" w:rsidRPr="0086443F" w:rsidRDefault="004A12E6" w:rsidP="004A12E6">
      <w:pPr>
        <w:pStyle w:val="ListParagraph"/>
        <w:numPr>
          <w:ilvl w:val="0"/>
          <w:numId w:val="2"/>
        </w:numPr>
        <w:tabs>
          <w:tab w:val="left" w:pos="520"/>
          <w:tab w:val="left" w:pos="521"/>
        </w:tabs>
        <w:spacing w:before="107"/>
        <w:ind w:left="567" w:hanging="425"/>
        <w:rPr>
          <w:sz w:val="24"/>
        </w:rPr>
      </w:pPr>
      <w:r w:rsidRPr="0086443F">
        <w:rPr>
          <w:sz w:val="24"/>
        </w:rPr>
        <w:t>a decision by the LA to cease to maintain an EHC</w:t>
      </w:r>
      <w:r w:rsidRPr="0086443F">
        <w:rPr>
          <w:spacing w:val="-20"/>
          <w:sz w:val="24"/>
        </w:rPr>
        <w:t xml:space="preserve"> </w:t>
      </w:r>
      <w:r w:rsidRPr="0086443F">
        <w:rPr>
          <w:sz w:val="24"/>
        </w:rPr>
        <w:t>plan</w:t>
      </w:r>
    </w:p>
    <w:p w14:paraId="3A5209CD" w14:textId="77777777" w:rsidR="004A12E6" w:rsidRPr="0086443F" w:rsidRDefault="004A12E6" w:rsidP="004A12E6">
      <w:pPr>
        <w:pStyle w:val="ListParagraph"/>
        <w:numPr>
          <w:ilvl w:val="0"/>
          <w:numId w:val="2"/>
        </w:numPr>
        <w:tabs>
          <w:tab w:val="left" w:pos="520"/>
          <w:tab w:val="left" w:pos="521"/>
        </w:tabs>
        <w:spacing w:before="107"/>
        <w:ind w:left="567" w:right="396" w:hanging="425"/>
        <w:rPr>
          <w:sz w:val="24"/>
        </w:rPr>
      </w:pPr>
      <w:r w:rsidRPr="0086443F">
        <w:rPr>
          <w:sz w:val="24"/>
        </w:rPr>
        <w:t>the description of the child/young person’s special educational needs in an EHC plan</w:t>
      </w:r>
    </w:p>
    <w:p w14:paraId="784EBEE2" w14:textId="77777777" w:rsidR="004A12E6" w:rsidRPr="0086443F" w:rsidRDefault="004A12E6" w:rsidP="004A12E6">
      <w:pPr>
        <w:pStyle w:val="ListParagraph"/>
        <w:numPr>
          <w:ilvl w:val="0"/>
          <w:numId w:val="2"/>
        </w:numPr>
        <w:tabs>
          <w:tab w:val="left" w:pos="520"/>
          <w:tab w:val="left" w:pos="521"/>
        </w:tabs>
        <w:spacing w:before="109"/>
        <w:ind w:left="567" w:hanging="425"/>
        <w:rPr>
          <w:sz w:val="24"/>
        </w:rPr>
      </w:pPr>
      <w:r w:rsidRPr="0086443F">
        <w:rPr>
          <w:sz w:val="24"/>
        </w:rPr>
        <w:t>the special educational provision specified in an EHC</w:t>
      </w:r>
      <w:r w:rsidRPr="0086443F">
        <w:rPr>
          <w:spacing w:val="-10"/>
          <w:sz w:val="24"/>
        </w:rPr>
        <w:t xml:space="preserve"> </w:t>
      </w:r>
      <w:r w:rsidRPr="0086443F">
        <w:rPr>
          <w:sz w:val="24"/>
        </w:rPr>
        <w:t>plan</w:t>
      </w:r>
    </w:p>
    <w:p w14:paraId="7FFDD3E4" w14:textId="77777777" w:rsidR="004A12E6" w:rsidRPr="0086443F" w:rsidRDefault="004A12E6" w:rsidP="004A12E6">
      <w:pPr>
        <w:pStyle w:val="ListParagraph"/>
        <w:numPr>
          <w:ilvl w:val="0"/>
          <w:numId w:val="2"/>
        </w:numPr>
        <w:tabs>
          <w:tab w:val="left" w:pos="520"/>
          <w:tab w:val="left" w:pos="521"/>
        </w:tabs>
        <w:spacing w:before="107"/>
        <w:ind w:left="567" w:hanging="425"/>
        <w:rPr>
          <w:sz w:val="24"/>
        </w:rPr>
      </w:pPr>
      <w:r w:rsidRPr="0086443F">
        <w:rPr>
          <w:sz w:val="24"/>
        </w:rPr>
        <w:t>the school or other educational institution named in an EHC</w:t>
      </w:r>
      <w:r w:rsidRPr="0086443F">
        <w:rPr>
          <w:spacing w:val="-14"/>
          <w:sz w:val="24"/>
        </w:rPr>
        <w:t xml:space="preserve"> </w:t>
      </w:r>
      <w:r w:rsidRPr="0086443F">
        <w:rPr>
          <w:sz w:val="24"/>
        </w:rPr>
        <w:t>plan</w:t>
      </w:r>
    </w:p>
    <w:p w14:paraId="47B6D254" w14:textId="486D5748" w:rsidR="004A12E6" w:rsidRPr="0086443F" w:rsidRDefault="004A12E6" w:rsidP="004A12E6">
      <w:pPr>
        <w:pStyle w:val="Heading2"/>
        <w:spacing w:before="106"/>
        <w:ind w:right="342"/>
        <w:rPr>
          <w:rFonts w:asciiTheme="minorHAnsi" w:hAnsiTheme="minorHAnsi"/>
          <w:sz w:val="24"/>
          <w:szCs w:val="24"/>
        </w:rPr>
      </w:pPr>
      <w:bookmarkStart w:id="7" w:name="_Toc40779878"/>
      <w:bookmarkStart w:id="8" w:name="_Toc42074113"/>
      <w:r w:rsidRPr="0086443F">
        <w:rPr>
          <w:rFonts w:asciiTheme="minorHAnsi" w:hAnsiTheme="minorHAnsi"/>
          <w:sz w:val="24"/>
          <w:szCs w:val="24"/>
        </w:rPr>
        <w:t xml:space="preserve">You can also go to the Tribunal about a decision by the LA not to carry out an EHC needs assessment, </w:t>
      </w:r>
      <w:r w:rsidRPr="0086443F">
        <w:rPr>
          <w:rFonts w:asciiTheme="minorHAnsi" w:hAnsiTheme="minorHAnsi"/>
          <w:sz w:val="24"/>
          <w:szCs w:val="24"/>
          <w:u w:val="thick"/>
        </w:rPr>
        <w:t xml:space="preserve">but this is </w:t>
      </w:r>
      <w:r w:rsidRPr="0086443F">
        <w:rPr>
          <w:rFonts w:asciiTheme="minorHAnsi" w:hAnsiTheme="minorHAnsi"/>
          <w:b/>
          <w:bCs/>
          <w:sz w:val="24"/>
          <w:szCs w:val="24"/>
          <w:u w:val="thick"/>
        </w:rPr>
        <w:t>not</w:t>
      </w:r>
      <w:r w:rsidRPr="0086443F">
        <w:rPr>
          <w:rFonts w:asciiTheme="minorHAnsi" w:hAnsiTheme="minorHAnsi"/>
          <w:sz w:val="24"/>
          <w:szCs w:val="24"/>
          <w:u w:val="thick"/>
        </w:rPr>
        <w:t xml:space="preserve"> part of the </w:t>
      </w:r>
      <w:r w:rsidR="00EB3DE2">
        <w:rPr>
          <w:rFonts w:asciiTheme="minorHAnsi" w:hAnsiTheme="minorHAnsi"/>
          <w:sz w:val="24"/>
          <w:szCs w:val="24"/>
          <w:u w:val="thick"/>
        </w:rPr>
        <w:t>SEND Tribunal: extended appeals</w:t>
      </w:r>
      <w:r w:rsidRPr="0086443F">
        <w:rPr>
          <w:rFonts w:asciiTheme="minorHAnsi" w:hAnsiTheme="minorHAnsi"/>
          <w:sz w:val="24"/>
          <w:szCs w:val="24"/>
          <w:u w:val="thick"/>
        </w:rPr>
        <w:t>.</w:t>
      </w:r>
      <w:bookmarkEnd w:id="7"/>
      <w:bookmarkEnd w:id="8"/>
    </w:p>
    <w:p w14:paraId="4BAFCE23" w14:textId="77777777" w:rsidR="004A12E6" w:rsidRDefault="004A12E6" w:rsidP="004A12E6">
      <w:pPr>
        <w:pStyle w:val="BodyText"/>
        <w:spacing w:before="4"/>
        <w:rPr>
          <w:rFonts w:asciiTheme="minorHAnsi" w:hAnsiTheme="minorHAnsi"/>
          <w:b/>
          <w:sz w:val="25"/>
        </w:rPr>
      </w:pPr>
    </w:p>
    <w:p w14:paraId="3283E497" w14:textId="0BAA88B6" w:rsidR="004A12E6" w:rsidRPr="0086443F" w:rsidRDefault="004A12E6" w:rsidP="004A12E6">
      <w:pPr>
        <w:pStyle w:val="BodyText"/>
        <w:spacing w:before="4"/>
        <w:rPr>
          <w:rFonts w:asciiTheme="minorHAnsi" w:hAnsiTheme="minorHAnsi"/>
          <w:b/>
          <w:sz w:val="25"/>
        </w:rPr>
      </w:pPr>
      <w:r w:rsidRPr="0086443F">
        <w:rPr>
          <w:rFonts w:asciiTheme="minorHAnsi" w:eastAsiaTheme="majorEastAsia" w:hAnsiTheme="minorHAnsi" w:cstheme="majorBidi"/>
          <w:color w:val="2F5496" w:themeColor="accent1" w:themeShade="BF"/>
          <w:sz w:val="28"/>
          <w:szCs w:val="28"/>
        </w:rPr>
        <w:t xml:space="preserve">What are the benefits of the </w:t>
      </w:r>
      <w:r w:rsidR="008C2648">
        <w:rPr>
          <w:rFonts w:asciiTheme="minorHAnsi" w:eastAsiaTheme="majorEastAsia" w:hAnsiTheme="minorHAnsi" w:cstheme="majorBidi"/>
          <w:color w:val="2F5496" w:themeColor="accent1" w:themeShade="BF"/>
          <w:sz w:val="28"/>
          <w:szCs w:val="28"/>
        </w:rPr>
        <w:t>SEND Tribunal: extended appeals</w:t>
      </w:r>
      <w:r w:rsidRPr="0086443F">
        <w:rPr>
          <w:rFonts w:asciiTheme="minorHAnsi" w:eastAsiaTheme="majorEastAsia" w:hAnsiTheme="minorHAnsi" w:cstheme="majorBidi"/>
          <w:color w:val="2F5496" w:themeColor="accent1" w:themeShade="BF"/>
          <w:sz w:val="28"/>
          <w:szCs w:val="28"/>
        </w:rPr>
        <w:t>?</w:t>
      </w:r>
    </w:p>
    <w:p w14:paraId="08E54076" w14:textId="36CEC0D9" w:rsidR="004A12E6" w:rsidRPr="0086443F" w:rsidRDefault="004A12E6" w:rsidP="004A12E6">
      <w:pPr>
        <w:pStyle w:val="ListParagraph"/>
        <w:numPr>
          <w:ilvl w:val="0"/>
          <w:numId w:val="3"/>
        </w:numPr>
        <w:tabs>
          <w:tab w:val="left" w:pos="567"/>
        </w:tabs>
        <w:spacing w:before="121"/>
        <w:ind w:left="567" w:right="311" w:hanging="425"/>
        <w:rPr>
          <w:sz w:val="24"/>
        </w:rPr>
      </w:pPr>
      <w:r w:rsidRPr="0086443F">
        <w:rPr>
          <w:sz w:val="24"/>
        </w:rPr>
        <w:t xml:space="preserve"> </w:t>
      </w:r>
      <w:r w:rsidR="005A5298">
        <w:rPr>
          <w:sz w:val="24"/>
        </w:rPr>
        <w:t xml:space="preserve">It </w:t>
      </w:r>
      <w:r w:rsidRPr="0086443F">
        <w:rPr>
          <w:sz w:val="24"/>
        </w:rPr>
        <w:t>create</w:t>
      </w:r>
      <w:r w:rsidR="005A5298">
        <w:rPr>
          <w:sz w:val="24"/>
        </w:rPr>
        <w:t>s</w:t>
      </w:r>
      <w:r w:rsidRPr="0086443F">
        <w:rPr>
          <w:sz w:val="24"/>
        </w:rPr>
        <w:t xml:space="preserve"> a more holistic, person-centered view of the child or young person’s needs at the</w:t>
      </w:r>
      <w:r w:rsidRPr="0086443F">
        <w:rPr>
          <w:spacing w:val="-12"/>
          <w:sz w:val="24"/>
        </w:rPr>
        <w:t xml:space="preserve"> </w:t>
      </w:r>
      <w:r w:rsidRPr="0086443F">
        <w:rPr>
          <w:sz w:val="24"/>
        </w:rPr>
        <w:t>Tribunal.</w:t>
      </w:r>
    </w:p>
    <w:p w14:paraId="5DE6ACE8" w14:textId="213B6A61" w:rsidR="004A12E6" w:rsidRDefault="005A5298" w:rsidP="004A12E6">
      <w:pPr>
        <w:pStyle w:val="ListParagraph"/>
        <w:numPr>
          <w:ilvl w:val="0"/>
          <w:numId w:val="3"/>
        </w:numPr>
        <w:tabs>
          <w:tab w:val="left" w:pos="567"/>
        </w:tabs>
        <w:spacing w:before="107"/>
        <w:ind w:left="567" w:right="594" w:hanging="425"/>
        <w:rPr>
          <w:sz w:val="24"/>
        </w:rPr>
      </w:pPr>
      <w:r>
        <w:rPr>
          <w:sz w:val="24"/>
        </w:rPr>
        <w:t xml:space="preserve"> It b</w:t>
      </w:r>
      <w:r w:rsidR="004A12E6" w:rsidRPr="0086443F">
        <w:rPr>
          <w:sz w:val="24"/>
        </w:rPr>
        <w:t>ring</w:t>
      </w:r>
      <w:r>
        <w:rPr>
          <w:sz w:val="24"/>
        </w:rPr>
        <w:t>s</w:t>
      </w:r>
      <w:r w:rsidR="004A12E6" w:rsidRPr="0086443F">
        <w:rPr>
          <w:sz w:val="24"/>
        </w:rPr>
        <w:t xml:space="preserve"> appeal rights in line with the wider remit of EHC plans – a ‘single route of</w:t>
      </w:r>
      <w:r w:rsidR="004A12E6" w:rsidRPr="0086443F">
        <w:rPr>
          <w:spacing w:val="-2"/>
          <w:sz w:val="24"/>
        </w:rPr>
        <w:t xml:space="preserve"> </w:t>
      </w:r>
      <w:r w:rsidR="004A12E6" w:rsidRPr="0086443F">
        <w:rPr>
          <w:sz w:val="24"/>
        </w:rPr>
        <w:t>redress’.</w:t>
      </w:r>
    </w:p>
    <w:p w14:paraId="75842967" w14:textId="7F6CE1A1" w:rsidR="004A12E6" w:rsidRDefault="005A5298" w:rsidP="004A12E6">
      <w:pPr>
        <w:pStyle w:val="ListParagraph"/>
        <w:numPr>
          <w:ilvl w:val="0"/>
          <w:numId w:val="3"/>
        </w:numPr>
        <w:tabs>
          <w:tab w:val="left" w:pos="567"/>
        </w:tabs>
        <w:spacing w:before="107"/>
        <w:ind w:left="567" w:right="594" w:hanging="425"/>
        <w:rPr>
          <w:sz w:val="24"/>
        </w:rPr>
      </w:pPr>
      <w:r>
        <w:rPr>
          <w:sz w:val="24"/>
        </w:rPr>
        <w:t>It e</w:t>
      </w:r>
      <w:r w:rsidR="004A12E6" w:rsidRPr="0086443F">
        <w:rPr>
          <w:sz w:val="24"/>
        </w:rPr>
        <w:t>ncourage</w:t>
      </w:r>
      <w:r>
        <w:rPr>
          <w:sz w:val="24"/>
        </w:rPr>
        <w:t>s</w:t>
      </w:r>
      <w:r w:rsidR="004A12E6" w:rsidRPr="0086443F">
        <w:rPr>
          <w:sz w:val="24"/>
        </w:rPr>
        <w:t xml:space="preserve"> joint working between education, health and social care commissioners.</w:t>
      </w:r>
    </w:p>
    <w:p w14:paraId="6A354E8D" w14:textId="0F18C7E4" w:rsidR="004A12E6" w:rsidRPr="0086443F" w:rsidRDefault="005A5298" w:rsidP="004A12E6">
      <w:pPr>
        <w:pStyle w:val="ListParagraph"/>
        <w:numPr>
          <w:ilvl w:val="0"/>
          <w:numId w:val="3"/>
        </w:numPr>
        <w:tabs>
          <w:tab w:val="left" w:pos="567"/>
        </w:tabs>
        <w:spacing w:before="107"/>
        <w:ind w:left="567" w:right="594" w:hanging="425"/>
        <w:rPr>
          <w:sz w:val="24"/>
        </w:rPr>
      </w:pPr>
      <w:r>
        <w:rPr>
          <w:sz w:val="24"/>
        </w:rPr>
        <w:t>It b</w:t>
      </w:r>
      <w:r w:rsidR="004A12E6" w:rsidRPr="0086443F">
        <w:rPr>
          <w:sz w:val="24"/>
        </w:rPr>
        <w:t>ring</w:t>
      </w:r>
      <w:r>
        <w:rPr>
          <w:sz w:val="24"/>
        </w:rPr>
        <w:t>s</w:t>
      </w:r>
      <w:r w:rsidR="004A12E6" w:rsidRPr="0086443F">
        <w:rPr>
          <w:sz w:val="24"/>
        </w:rPr>
        <w:t xml:space="preserve"> about positive benefits to children, young people and</w:t>
      </w:r>
      <w:r w:rsidR="004A12E6" w:rsidRPr="0086443F">
        <w:rPr>
          <w:spacing w:val="-24"/>
          <w:sz w:val="24"/>
        </w:rPr>
        <w:t xml:space="preserve"> </w:t>
      </w:r>
      <w:r w:rsidR="004A12E6" w:rsidRPr="0086443F">
        <w:rPr>
          <w:sz w:val="24"/>
        </w:rPr>
        <w:t>parents</w:t>
      </w:r>
    </w:p>
    <w:p w14:paraId="1A135410" w14:textId="77777777" w:rsidR="004A12E6" w:rsidRDefault="004A12E6" w:rsidP="004A12E6">
      <w:pPr>
        <w:tabs>
          <w:tab w:val="left" w:pos="520"/>
          <w:tab w:val="left" w:pos="521"/>
        </w:tabs>
        <w:spacing w:before="110"/>
        <w:rPr>
          <w:sz w:val="24"/>
        </w:rPr>
      </w:pPr>
    </w:p>
    <w:p w14:paraId="728C9F4F" w14:textId="77777777" w:rsidR="004A12E6" w:rsidRPr="0086443F" w:rsidRDefault="004A12E6" w:rsidP="004A12E6">
      <w:pPr>
        <w:pStyle w:val="Heading2"/>
        <w:spacing w:before="73"/>
        <w:jc w:val="both"/>
        <w:rPr>
          <w:rFonts w:asciiTheme="minorHAnsi" w:hAnsiTheme="minorHAnsi"/>
        </w:rPr>
      </w:pPr>
      <w:bookmarkStart w:id="9" w:name="_Toc40779879"/>
      <w:bookmarkStart w:id="10" w:name="_Toc42074114"/>
      <w:r w:rsidRPr="0086443F">
        <w:rPr>
          <w:rFonts w:asciiTheme="minorHAnsi" w:hAnsiTheme="minorHAnsi"/>
        </w:rPr>
        <w:t>What are the limitations?</w:t>
      </w:r>
      <w:bookmarkEnd w:id="9"/>
      <w:bookmarkEnd w:id="10"/>
    </w:p>
    <w:p w14:paraId="17C88E11" w14:textId="0A7F1933" w:rsidR="004A12E6" w:rsidRDefault="004A12E6" w:rsidP="004A12E6">
      <w:pPr>
        <w:pStyle w:val="BodyText"/>
        <w:spacing w:before="120" w:line="259" w:lineRule="auto"/>
        <w:ind w:right="192"/>
        <w:jc w:val="both"/>
        <w:rPr>
          <w:rFonts w:asciiTheme="minorHAnsi" w:hAnsiTheme="minorHAnsi"/>
          <w:color w:val="0462C1"/>
          <w:u w:val="single" w:color="0462C1"/>
        </w:rPr>
      </w:pPr>
      <w:r w:rsidRPr="0086443F">
        <w:rPr>
          <w:rFonts w:asciiTheme="minorHAnsi" w:hAnsiTheme="minorHAnsi"/>
        </w:rPr>
        <w:t>The extended powers mean the Tribunal can make non-binding recommendations about the health and/or social care aspects of EHC plans. Non-binding means that local authorities and clinical commissioning groups are not under a duty to accept the recommendations, but it is expected that they will. They are recommendations made by a specialist Tribunal and should not be ignored or rejected without careful consideration.</w:t>
      </w:r>
      <w:r w:rsidRPr="0086443F">
        <w:rPr>
          <w:rFonts w:asciiTheme="minorHAnsi" w:hAnsiTheme="minorHAnsi"/>
          <w:spacing w:val="-16"/>
        </w:rPr>
        <w:t xml:space="preserve"> </w:t>
      </w:r>
      <w:r w:rsidRPr="0086443F">
        <w:rPr>
          <w:rFonts w:asciiTheme="minorHAnsi" w:hAnsiTheme="minorHAnsi"/>
        </w:rPr>
        <w:t>Any</w:t>
      </w:r>
      <w:r w:rsidRPr="0086443F">
        <w:rPr>
          <w:rFonts w:asciiTheme="minorHAnsi" w:hAnsiTheme="minorHAnsi"/>
          <w:spacing w:val="-15"/>
        </w:rPr>
        <w:t xml:space="preserve"> </w:t>
      </w:r>
      <w:r w:rsidRPr="0086443F">
        <w:rPr>
          <w:rFonts w:asciiTheme="minorHAnsi" w:hAnsiTheme="minorHAnsi"/>
        </w:rPr>
        <w:t>reasons</w:t>
      </w:r>
      <w:r w:rsidRPr="0086443F">
        <w:rPr>
          <w:rFonts w:asciiTheme="minorHAnsi" w:hAnsiTheme="minorHAnsi"/>
          <w:spacing w:val="-15"/>
        </w:rPr>
        <w:t xml:space="preserve"> </w:t>
      </w:r>
      <w:r w:rsidRPr="0086443F">
        <w:rPr>
          <w:rFonts w:asciiTheme="minorHAnsi" w:hAnsiTheme="minorHAnsi"/>
        </w:rPr>
        <w:t>for</w:t>
      </w:r>
      <w:r w:rsidRPr="0086443F">
        <w:rPr>
          <w:rFonts w:asciiTheme="minorHAnsi" w:hAnsiTheme="minorHAnsi"/>
          <w:spacing w:val="-16"/>
        </w:rPr>
        <w:t xml:space="preserve"> </w:t>
      </w:r>
      <w:r w:rsidRPr="0086443F">
        <w:rPr>
          <w:rFonts w:asciiTheme="minorHAnsi" w:hAnsiTheme="minorHAnsi"/>
        </w:rPr>
        <w:t>not</w:t>
      </w:r>
      <w:r w:rsidRPr="0086443F">
        <w:rPr>
          <w:rFonts w:asciiTheme="minorHAnsi" w:hAnsiTheme="minorHAnsi"/>
          <w:spacing w:val="-15"/>
        </w:rPr>
        <w:t xml:space="preserve"> </w:t>
      </w:r>
      <w:r w:rsidRPr="0086443F">
        <w:rPr>
          <w:rFonts w:asciiTheme="minorHAnsi" w:hAnsiTheme="minorHAnsi"/>
        </w:rPr>
        <w:t>following</w:t>
      </w:r>
      <w:r w:rsidRPr="0086443F">
        <w:rPr>
          <w:rFonts w:asciiTheme="minorHAnsi" w:hAnsiTheme="minorHAnsi"/>
          <w:spacing w:val="-14"/>
        </w:rPr>
        <w:t xml:space="preserve"> </w:t>
      </w:r>
      <w:r w:rsidRPr="0086443F">
        <w:rPr>
          <w:rFonts w:asciiTheme="minorHAnsi" w:hAnsiTheme="minorHAnsi"/>
        </w:rPr>
        <w:t>them</w:t>
      </w:r>
      <w:r w:rsidRPr="0086443F">
        <w:rPr>
          <w:rFonts w:asciiTheme="minorHAnsi" w:hAnsiTheme="minorHAnsi"/>
          <w:spacing w:val="-14"/>
        </w:rPr>
        <w:t xml:space="preserve"> </w:t>
      </w:r>
      <w:r w:rsidRPr="0086443F">
        <w:rPr>
          <w:rFonts w:asciiTheme="minorHAnsi" w:hAnsiTheme="minorHAnsi"/>
        </w:rPr>
        <w:t>must</w:t>
      </w:r>
      <w:r w:rsidRPr="0086443F">
        <w:rPr>
          <w:rFonts w:asciiTheme="minorHAnsi" w:hAnsiTheme="minorHAnsi"/>
          <w:spacing w:val="-12"/>
        </w:rPr>
        <w:t xml:space="preserve"> </w:t>
      </w:r>
      <w:r w:rsidRPr="0086443F">
        <w:rPr>
          <w:rFonts w:asciiTheme="minorHAnsi" w:hAnsiTheme="minorHAnsi"/>
        </w:rPr>
        <w:t>be</w:t>
      </w:r>
      <w:r w:rsidRPr="0086443F">
        <w:rPr>
          <w:rFonts w:asciiTheme="minorHAnsi" w:hAnsiTheme="minorHAnsi"/>
          <w:spacing w:val="-12"/>
        </w:rPr>
        <w:t xml:space="preserve"> </w:t>
      </w:r>
      <w:r w:rsidRPr="0086443F">
        <w:rPr>
          <w:rFonts w:asciiTheme="minorHAnsi" w:hAnsiTheme="minorHAnsi"/>
        </w:rPr>
        <w:t>explained</w:t>
      </w:r>
      <w:r w:rsidRPr="0086443F">
        <w:rPr>
          <w:rFonts w:asciiTheme="minorHAnsi" w:hAnsiTheme="minorHAnsi"/>
          <w:spacing w:val="-14"/>
        </w:rPr>
        <w:t xml:space="preserve"> </w:t>
      </w:r>
      <w:r w:rsidRPr="0086443F">
        <w:rPr>
          <w:rFonts w:asciiTheme="minorHAnsi" w:hAnsiTheme="minorHAnsi"/>
        </w:rPr>
        <w:t>in</w:t>
      </w:r>
      <w:r w:rsidRPr="0086443F">
        <w:rPr>
          <w:rFonts w:asciiTheme="minorHAnsi" w:hAnsiTheme="minorHAnsi"/>
          <w:spacing w:val="-12"/>
        </w:rPr>
        <w:t xml:space="preserve"> </w:t>
      </w:r>
      <w:r w:rsidRPr="0086443F">
        <w:rPr>
          <w:rFonts w:asciiTheme="minorHAnsi" w:hAnsiTheme="minorHAnsi"/>
        </w:rPr>
        <w:t>sufficient</w:t>
      </w:r>
      <w:r w:rsidRPr="0086443F">
        <w:rPr>
          <w:rFonts w:asciiTheme="minorHAnsi" w:hAnsiTheme="minorHAnsi"/>
          <w:spacing w:val="-12"/>
        </w:rPr>
        <w:t xml:space="preserve"> </w:t>
      </w:r>
      <w:r w:rsidRPr="0086443F">
        <w:rPr>
          <w:rFonts w:asciiTheme="minorHAnsi" w:hAnsiTheme="minorHAnsi"/>
        </w:rPr>
        <w:t xml:space="preserve">detail and set out in writing in the response to recommendation letters. </w:t>
      </w:r>
      <w:r w:rsidRPr="0086443F">
        <w:rPr>
          <w:rFonts w:asciiTheme="minorHAnsi" w:hAnsiTheme="minorHAnsi"/>
          <w:spacing w:val="3"/>
        </w:rPr>
        <w:t xml:space="preserve">If </w:t>
      </w:r>
      <w:r w:rsidRPr="0086443F">
        <w:rPr>
          <w:rFonts w:asciiTheme="minorHAnsi" w:hAnsiTheme="minorHAnsi"/>
        </w:rPr>
        <w:t xml:space="preserve">the recommendations are not followed, parents and young people can complain to the </w:t>
      </w:r>
      <w:hyperlink r:id="rId14">
        <w:r w:rsidRPr="0086443F">
          <w:rPr>
            <w:rFonts w:asciiTheme="minorHAnsi" w:hAnsiTheme="minorHAnsi"/>
            <w:color w:val="0462C1"/>
            <w:u w:val="single" w:color="0462C1"/>
          </w:rPr>
          <w:t>Local Government and Social Care Ombudsman</w:t>
        </w:r>
      </w:hyperlink>
      <w:r w:rsidRPr="0086443F">
        <w:rPr>
          <w:rFonts w:asciiTheme="minorHAnsi" w:hAnsiTheme="minorHAnsi"/>
          <w:color w:val="0462C1"/>
        </w:rPr>
        <w:t xml:space="preserve"> </w:t>
      </w:r>
      <w:r w:rsidRPr="0086443F">
        <w:rPr>
          <w:rFonts w:asciiTheme="minorHAnsi" w:hAnsiTheme="minorHAnsi"/>
        </w:rPr>
        <w:t xml:space="preserve">or the </w:t>
      </w:r>
      <w:hyperlink r:id="rId15" w:history="1">
        <w:r w:rsidRPr="00F513C5">
          <w:rPr>
            <w:rStyle w:val="Hyperlink"/>
            <w:rFonts w:asciiTheme="minorHAnsi" w:hAnsiTheme="minorHAnsi"/>
          </w:rPr>
          <w:t>Parliamentary and Health Service Ombudsman</w:t>
        </w:r>
      </w:hyperlink>
      <w:r w:rsidRPr="000B7B86">
        <w:rPr>
          <w:rFonts w:asciiTheme="minorHAnsi" w:hAnsiTheme="minorHAnsi"/>
          <w:color w:val="0462C1"/>
        </w:rPr>
        <w:t xml:space="preserve"> or seek to have the decision judicially</w:t>
      </w:r>
      <w:r w:rsidRPr="000B7B86">
        <w:rPr>
          <w:rFonts w:asciiTheme="minorHAnsi" w:hAnsiTheme="minorHAnsi"/>
          <w:color w:val="0462C1"/>
          <w:spacing w:val="-13"/>
        </w:rPr>
        <w:t xml:space="preserve"> </w:t>
      </w:r>
      <w:r w:rsidRPr="000B7B86">
        <w:rPr>
          <w:rFonts w:asciiTheme="minorHAnsi" w:hAnsiTheme="minorHAnsi"/>
          <w:color w:val="0462C1"/>
        </w:rPr>
        <w:t>reviewed.</w:t>
      </w:r>
    </w:p>
    <w:p w14:paraId="03FED91A" w14:textId="77777777" w:rsidR="004A12E6" w:rsidRPr="0086443F" w:rsidRDefault="004A12E6" w:rsidP="004A12E6">
      <w:pPr>
        <w:pStyle w:val="BodyText"/>
        <w:spacing w:before="120" w:line="259" w:lineRule="auto"/>
        <w:ind w:right="192"/>
        <w:jc w:val="both"/>
        <w:rPr>
          <w:rFonts w:asciiTheme="minorHAnsi" w:hAnsiTheme="minorHAnsi"/>
        </w:rPr>
      </w:pPr>
    </w:p>
    <w:p w14:paraId="62DB7364" w14:textId="44B9269B" w:rsidR="004A12E6" w:rsidRPr="0086443F" w:rsidRDefault="004A12E6" w:rsidP="004A12E6">
      <w:pPr>
        <w:pStyle w:val="Heading2"/>
        <w:spacing w:before="159"/>
        <w:ind w:right="622"/>
        <w:rPr>
          <w:rFonts w:asciiTheme="minorHAnsi" w:hAnsiTheme="minorHAnsi"/>
        </w:rPr>
      </w:pPr>
      <w:bookmarkStart w:id="11" w:name="_Toc40779880"/>
      <w:bookmarkStart w:id="12" w:name="_Toc42074115"/>
      <w:r w:rsidRPr="0086443F">
        <w:rPr>
          <w:rFonts w:asciiTheme="minorHAnsi" w:hAnsiTheme="minorHAnsi"/>
        </w:rPr>
        <w:t>Will the decisions given by the Tribunal on education aspects of EHC plans still be binding under the</w:t>
      </w:r>
      <w:r w:rsidR="00BB5C30">
        <w:rPr>
          <w:rFonts w:asciiTheme="minorHAnsi" w:hAnsiTheme="minorHAnsi"/>
        </w:rPr>
        <w:t xml:space="preserve"> extended appeals</w:t>
      </w:r>
      <w:r w:rsidRPr="0086443F">
        <w:rPr>
          <w:rFonts w:asciiTheme="minorHAnsi" w:hAnsiTheme="minorHAnsi"/>
        </w:rPr>
        <w:t>?</w:t>
      </w:r>
      <w:bookmarkEnd w:id="11"/>
      <w:bookmarkEnd w:id="12"/>
    </w:p>
    <w:p w14:paraId="17E69EF8" w14:textId="77777777" w:rsidR="004A12E6" w:rsidRPr="0086443F" w:rsidRDefault="004A12E6" w:rsidP="004A12E6">
      <w:pPr>
        <w:pStyle w:val="BodyText"/>
        <w:spacing w:before="118"/>
        <w:ind w:right="334"/>
        <w:rPr>
          <w:rFonts w:asciiTheme="minorHAnsi" w:hAnsiTheme="minorHAnsi"/>
        </w:rPr>
      </w:pPr>
      <w:r w:rsidRPr="0086443F">
        <w:rPr>
          <w:rFonts w:asciiTheme="minorHAnsi" w:hAnsiTheme="minorHAnsi"/>
        </w:rPr>
        <w:t xml:space="preserve">Yes, the usual Tribunal orders (educational decisions) will remain binding. </w:t>
      </w:r>
      <w:hyperlink r:id="rId16">
        <w:r w:rsidRPr="0086443F">
          <w:rPr>
            <w:rFonts w:asciiTheme="minorHAnsi" w:hAnsiTheme="minorHAnsi"/>
            <w:color w:val="0462C1"/>
            <w:w w:val="95"/>
            <w:u w:val="single" w:color="0462C1"/>
          </w:rPr>
          <w:t>https://www.gov.uk/courts-tribunals/first-tier-tribunal-special-educational-needs-and-</w:t>
        </w:r>
      </w:hyperlink>
      <w:r w:rsidRPr="0086443F">
        <w:rPr>
          <w:rFonts w:asciiTheme="minorHAnsi" w:hAnsiTheme="minorHAnsi"/>
          <w:color w:val="0462C1"/>
          <w:w w:val="95"/>
        </w:rPr>
        <w:t xml:space="preserve"> </w:t>
      </w:r>
      <w:hyperlink r:id="rId17">
        <w:r w:rsidRPr="0086443F">
          <w:rPr>
            <w:rFonts w:asciiTheme="minorHAnsi" w:hAnsiTheme="minorHAnsi"/>
            <w:color w:val="0462C1"/>
            <w:u w:val="single" w:color="0462C1"/>
          </w:rPr>
          <w:t>disability</w:t>
        </w:r>
      </w:hyperlink>
    </w:p>
    <w:p w14:paraId="056D4931" w14:textId="77777777" w:rsidR="004A12E6" w:rsidRPr="0086443F" w:rsidRDefault="004A12E6" w:rsidP="004A12E6">
      <w:pPr>
        <w:pStyle w:val="BodyText"/>
        <w:rPr>
          <w:rFonts w:asciiTheme="minorHAnsi" w:hAnsiTheme="minorHAnsi"/>
        </w:rPr>
      </w:pPr>
    </w:p>
    <w:p w14:paraId="7C538D16" w14:textId="77777777" w:rsidR="004A12E6" w:rsidRPr="0086443F" w:rsidRDefault="004A12E6" w:rsidP="004A12E6">
      <w:pPr>
        <w:pStyle w:val="Heading1"/>
        <w:rPr>
          <w:rFonts w:asciiTheme="minorHAnsi" w:hAnsiTheme="minorHAnsi"/>
          <w:spacing w:val="-9"/>
        </w:rPr>
      </w:pPr>
      <w:r w:rsidRPr="0086443F">
        <w:rPr>
          <w:rFonts w:asciiTheme="minorHAnsi" w:hAnsiTheme="minorHAnsi"/>
          <w:spacing w:val="-80"/>
          <w:w w:val="99"/>
        </w:rPr>
        <w:lastRenderedPageBreak/>
        <w:t xml:space="preserve"> </w:t>
      </w:r>
      <w:bookmarkStart w:id="13" w:name="_Toc42074116"/>
      <w:r w:rsidRPr="0086443F">
        <w:rPr>
          <w:rFonts w:asciiTheme="minorHAnsi" w:hAnsiTheme="minorHAnsi"/>
          <w:spacing w:val="-9"/>
        </w:rPr>
        <w:t xml:space="preserve">Health </w:t>
      </w:r>
      <w:r w:rsidRPr="0086443F">
        <w:rPr>
          <w:rFonts w:asciiTheme="minorHAnsi" w:hAnsiTheme="minorHAnsi"/>
          <w:spacing w:val="-7"/>
        </w:rPr>
        <w:t xml:space="preserve">and </w:t>
      </w:r>
      <w:r w:rsidRPr="0086443F">
        <w:rPr>
          <w:rFonts w:asciiTheme="minorHAnsi" w:hAnsiTheme="minorHAnsi"/>
          <w:spacing w:val="-8"/>
        </w:rPr>
        <w:t>Social Care</w:t>
      </w:r>
      <w:bookmarkEnd w:id="13"/>
    </w:p>
    <w:p w14:paraId="2C586F9E" w14:textId="77777777" w:rsidR="004A12E6" w:rsidRPr="0086443F" w:rsidRDefault="004A12E6" w:rsidP="004A12E6">
      <w:pPr>
        <w:pStyle w:val="BodyText"/>
        <w:spacing w:before="2"/>
        <w:rPr>
          <w:rFonts w:asciiTheme="minorHAnsi" w:hAnsiTheme="minorHAnsi"/>
          <w:b/>
          <w:sz w:val="16"/>
        </w:rPr>
      </w:pPr>
    </w:p>
    <w:p w14:paraId="57BEC628" w14:textId="37B11151" w:rsidR="004A12E6" w:rsidRPr="0086443F" w:rsidRDefault="004A12E6" w:rsidP="004A12E6">
      <w:pPr>
        <w:pStyle w:val="Heading2"/>
        <w:rPr>
          <w:rFonts w:asciiTheme="minorHAnsi" w:hAnsiTheme="minorHAnsi"/>
        </w:rPr>
      </w:pPr>
      <w:bookmarkStart w:id="14" w:name="_Toc40779884"/>
      <w:bookmarkStart w:id="15" w:name="_Toc42074117"/>
      <w:r w:rsidRPr="0086443F">
        <w:rPr>
          <w:rFonts w:asciiTheme="minorHAnsi" w:hAnsiTheme="minorHAnsi"/>
        </w:rPr>
        <w:t xml:space="preserve">What do the </w:t>
      </w:r>
      <w:r w:rsidR="006C147F">
        <w:rPr>
          <w:rFonts w:asciiTheme="minorHAnsi" w:hAnsiTheme="minorHAnsi"/>
        </w:rPr>
        <w:t xml:space="preserve">extended </w:t>
      </w:r>
      <w:r w:rsidR="00C8204E">
        <w:rPr>
          <w:rFonts w:asciiTheme="minorHAnsi" w:hAnsiTheme="minorHAnsi"/>
        </w:rPr>
        <w:t xml:space="preserve">powers </w:t>
      </w:r>
      <w:r w:rsidR="00C8204E" w:rsidRPr="0086443F">
        <w:rPr>
          <w:rFonts w:asciiTheme="minorHAnsi" w:hAnsiTheme="minorHAnsi"/>
        </w:rPr>
        <w:t>do</w:t>
      </w:r>
      <w:r w:rsidRPr="0086443F">
        <w:rPr>
          <w:rFonts w:asciiTheme="minorHAnsi" w:hAnsiTheme="minorHAnsi"/>
        </w:rPr>
        <w:t xml:space="preserve"> about health and social care issues?</w:t>
      </w:r>
      <w:bookmarkEnd w:id="14"/>
      <w:bookmarkEnd w:id="15"/>
    </w:p>
    <w:p w14:paraId="4CC4CA7E" w14:textId="77777777" w:rsidR="004A12E6" w:rsidRPr="0086443F" w:rsidRDefault="004A12E6" w:rsidP="004A12E6">
      <w:pPr>
        <w:pStyle w:val="BodyText"/>
        <w:spacing w:before="182"/>
        <w:ind w:right="258"/>
        <w:rPr>
          <w:rFonts w:asciiTheme="minorHAnsi" w:hAnsiTheme="minorHAnsi"/>
        </w:rPr>
      </w:pPr>
      <w:r w:rsidRPr="0086443F">
        <w:rPr>
          <w:rFonts w:asciiTheme="minorHAnsi" w:hAnsiTheme="minorHAnsi"/>
        </w:rPr>
        <w:t>For an appeal against a refusal to issue an EHC plan, if the Tribunal orders a plan to be made, it has the power to recommend that health and social care needs and provision be specified when the plan is drawn up.</w:t>
      </w:r>
    </w:p>
    <w:p w14:paraId="34991512" w14:textId="77777777" w:rsidR="004A12E6" w:rsidRPr="0086443F" w:rsidRDefault="004A12E6" w:rsidP="004A12E6">
      <w:pPr>
        <w:pStyle w:val="BodyText"/>
        <w:ind w:right="538"/>
        <w:rPr>
          <w:rFonts w:asciiTheme="minorHAnsi" w:hAnsiTheme="minorHAnsi"/>
        </w:rPr>
      </w:pPr>
      <w:r w:rsidRPr="0086443F">
        <w:rPr>
          <w:rFonts w:asciiTheme="minorHAnsi" w:hAnsiTheme="minorHAnsi"/>
        </w:rPr>
        <w:t xml:space="preserve">Where health and social care needs and/or provision </w:t>
      </w:r>
      <w:r w:rsidRPr="0086443F">
        <w:rPr>
          <w:rFonts w:asciiTheme="minorHAnsi" w:hAnsiTheme="minorHAnsi"/>
          <w:b/>
        </w:rPr>
        <w:t xml:space="preserve">are not </w:t>
      </w:r>
      <w:r w:rsidRPr="0086443F">
        <w:rPr>
          <w:rFonts w:asciiTheme="minorHAnsi" w:hAnsiTheme="minorHAnsi"/>
        </w:rPr>
        <w:t>included in the plan, the Tribunal has the power to recommend they are specified in the plan.</w:t>
      </w:r>
    </w:p>
    <w:p w14:paraId="6FCA3073" w14:textId="77777777" w:rsidR="004A12E6" w:rsidRPr="0086443F" w:rsidRDefault="004A12E6" w:rsidP="004A12E6">
      <w:pPr>
        <w:pStyle w:val="BodyText"/>
        <w:ind w:right="577"/>
        <w:rPr>
          <w:rFonts w:asciiTheme="minorHAnsi" w:hAnsiTheme="minorHAnsi"/>
        </w:rPr>
      </w:pPr>
      <w:r w:rsidRPr="0086443F">
        <w:rPr>
          <w:rFonts w:asciiTheme="minorHAnsi" w:hAnsiTheme="minorHAnsi"/>
        </w:rPr>
        <w:t xml:space="preserve">Where health and social care needs and/or provision </w:t>
      </w:r>
      <w:r w:rsidRPr="0086443F">
        <w:rPr>
          <w:rFonts w:asciiTheme="minorHAnsi" w:hAnsiTheme="minorHAnsi"/>
          <w:b/>
        </w:rPr>
        <w:t xml:space="preserve">are </w:t>
      </w:r>
      <w:r w:rsidRPr="0086443F">
        <w:rPr>
          <w:rFonts w:asciiTheme="minorHAnsi" w:hAnsiTheme="minorHAnsi"/>
        </w:rPr>
        <w:t>included in the plan, the Tribunal has the power to recommend that the need or provision be amended.</w:t>
      </w:r>
    </w:p>
    <w:p w14:paraId="3AB18E9C" w14:textId="77777777" w:rsidR="004A12E6" w:rsidRPr="0086443F" w:rsidRDefault="004A12E6" w:rsidP="004A12E6">
      <w:pPr>
        <w:pStyle w:val="BodyText"/>
        <w:rPr>
          <w:rFonts w:asciiTheme="minorHAnsi" w:hAnsiTheme="minorHAnsi"/>
        </w:rPr>
      </w:pPr>
    </w:p>
    <w:p w14:paraId="48B8C0A0" w14:textId="77777777" w:rsidR="004A12E6" w:rsidRPr="00132847" w:rsidRDefault="004A12E6" w:rsidP="004A12E6">
      <w:pPr>
        <w:pStyle w:val="Heading2"/>
        <w:spacing w:before="0" w:after="240"/>
        <w:ind w:right="875"/>
        <w:rPr>
          <w:rFonts w:asciiTheme="minorHAnsi" w:hAnsiTheme="minorHAnsi"/>
        </w:rPr>
      </w:pPr>
      <w:bookmarkStart w:id="16" w:name="_Toc40779885"/>
      <w:bookmarkStart w:id="17" w:name="_Toc42074118"/>
      <w:r w:rsidRPr="0086443F">
        <w:rPr>
          <w:rFonts w:asciiTheme="minorHAnsi" w:hAnsiTheme="minorHAnsi"/>
        </w:rPr>
        <w:t>How do I inform the Tribunal I want health and/or social care issues to be considered?</w:t>
      </w:r>
      <w:bookmarkEnd w:id="16"/>
      <w:bookmarkEnd w:id="17"/>
    </w:p>
    <w:p w14:paraId="72C29EAD" w14:textId="4797AF0D" w:rsidR="004A12E6" w:rsidRDefault="004A12E6" w:rsidP="004A12E6">
      <w:pPr>
        <w:pStyle w:val="BodyText"/>
        <w:spacing w:after="240" w:line="259" w:lineRule="auto"/>
        <w:ind w:right="257"/>
        <w:rPr>
          <w:rFonts w:asciiTheme="minorHAnsi" w:hAnsiTheme="minorHAnsi"/>
        </w:rPr>
      </w:pPr>
      <w:r w:rsidRPr="0086443F">
        <w:rPr>
          <w:rFonts w:asciiTheme="minorHAnsi" w:hAnsiTheme="minorHAnsi"/>
        </w:rPr>
        <w:t>To make an appeal against a local authority decision on any of the grounds listed above and to request that the Tribunal also considers concerns about the health and</w:t>
      </w:r>
      <w:r>
        <w:rPr>
          <w:rFonts w:asciiTheme="minorHAnsi" w:hAnsiTheme="minorHAnsi"/>
        </w:rPr>
        <w:t>/</w:t>
      </w:r>
      <w:r w:rsidRPr="0086443F">
        <w:rPr>
          <w:rFonts w:asciiTheme="minorHAnsi" w:hAnsiTheme="minorHAnsi"/>
        </w:rPr>
        <w:t>or social care aspects of an EHC plan, you should follow the normal process for bringing an appeal to the Tribunal and tick the box on the form</w:t>
      </w:r>
      <w:r w:rsidR="0089540D" w:rsidRPr="0089540D">
        <w:rPr>
          <w:rFonts w:asciiTheme="minorHAnsi" w:hAnsiTheme="minorHAnsi" w:cstheme="minorHAnsi"/>
        </w:rPr>
        <w:t xml:space="preserve">, </w:t>
      </w:r>
      <w:r w:rsidR="0089540D" w:rsidRPr="00216772">
        <w:rPr>
          <w:rFonts w:asciiTheme="minorHAnsi" w:hAnsiTheme="minorHAnsi" w:cstheme="minorHAnsi"/>
        </w:rPr>
        <w:t xml:space="preserve">found on the </w:t>
      </w:r>
      <w:hyperlink r:id="rId18" w:history="1">
        <w:r w:rsidR="0089540D" w:rsidRPr="00216772">
          <w:rPr>
            <w:rStyle w:val="Hyperlink"/>
            <w:rFonts w:asciiTheme="minorHAnsi" w:hAnsiTheme="minorHAnsi" w:cstheme="minorHAnsi"/>
          </w:rPr>
          <w:t>G</w:t>
        </w:r>
        <w:r w:rsidR="00553115">
          <w:rPr>
            <w:rStyle w:val="Hyperlink"/>
            <w:rFonts w:asciiTheme="minorHAnsi" w:hAnsiTheme="minorHAnsi" w:cstheme="minorHAnsi"/>
          </w:rPr>
          <w:t>ov</w:t>
        </w:r>
        <w:r w:rsidR="0089540D" w:rsidRPr="00216772">
          <w:rPr>
            <w:rStyle w:val="Hyperlink"/>
            <w:rFonts w:asciiTheme="minorHAnsi" w:hAnsiTheme="minorHAnsi" w:cstheme="minorHAnsi"/>
          </w:rPr>
          <w:t>.</w:t>
        </w:r>
        <w:r w:rsidR="00553115">
          <w:rPr>
            <w:rStyle w:val="Hyperlink"/>
            <w:rFonts w:asciiTheme="minorHAnsi" w:hAnsiTheme="minorHAnsi" w:cstheme="minorHAnsi"/>
          </w:rPr>
          <w:t>uk</w:t>
        </w:r>
      </w:hyperlink>
      <w:r w:rsidR="0089540D" w:rsidRPr="00216772">
        <w:rPr>
          <w:rFonts w:asciiTheme="minorHAnsi" w:hAnsiTheme="minorHAnsi" w:cstheme="minorHAnsi"/>
        </w:rPr>
        <w:t xml:space="preserve"> website</w:t>
      </w:r>
      <w:r w:rsidR="005446A6">
        <w:rPr>
          <w:rFonts w:asciiTheme="minorHAnsi" w:hAnsiTheme="minorHAnsi" w:cstheme="minorHAnsi"/>
        </w:rPr>
        <w:t>,</w:t>
      </w:r>
      <w:r w:rsidRPr="0089540D">
        <w:rPr>
          <w:rFonts w:asciiTheme="minorHAnsi" w:hAnsiTheme="minorHAnsi" w:cstheme="minorHAnsi"/>
        </w:rPr>
        <w:t xml:space="preserve"> asking</w:t>
      </w:r>
      <w:r w:rsidRPr="0086443F">
        <w:rPr>
          <w:rFonts w:asciiTheme="minorHAnsi" w:hAnsiTheme="minorHAnsi"/>
        </w:rPr>
        <w:t xml:space="preserve"> the Tribunal to make a recommendation on the health and/or social care elements of the plan. </w:t>
      </w:r>
    </w:p>
    <w:p w14:paraId="2F4E49E9" w14:textId="77777777" w:rsidR="004A12E6" w:rsidRPr="0086443F" w:rsidRDefault="004A12E6" w:rsidP="004A12E6">
      <w:pPr>
        <w:pStyle w:val="BodyText"/>
        <w:spacing w:after="240" w:line="259" w:lineRule="auto"/>
        <w:ind w:right="257"/>
        <w:rPr>
          <w:rFonts w:asciiTheme="minorHAnsi" w:hAnsiTheme="minorHAnsi"/>
        </w:rPr>
      </w:pPr>
      <w:r w:rsidRPr="0086443F">
        <w:rPr>
          <w:rFonts w:asciiTheme="minorHAnsi" w:hAnsiTheme="minorHAnsi"/>
        </w:rPr>
        <w:t xml:space="preserve">Advice on making SEND appeals to the Tribunal and appeal forms are available via </w:t>
      </w:r>
      <w:hyperlink r:id="rId19">
        <w:r w:rsidRPr="0086443F">
          <w:rPr>
            <w:rFonts w:asciiTheme="minorHAnsi" w:hAnsiTheme="minorHAnsi"/>
            <w:color w:val="0462C1"/>
            <w:u w:val="single" w:color="0462C1"/>
          </w:rPr>
          <w:t>https://www.gov.uk/courts-tribunals/first-tier-tribunal-special-</w:t>
        </w:r>
      </w:hyperlink>
      <w:r w:rsidRPr="0086443F">
        <w:rPr>
          <w:rFonts w:asciiTheme="minorHAnsi" w:hAnsiTheme="minorHAnsi"/>
          <w:color w:val="0462C1"/>
        </w:rPr>
        <w:t xml:space="preserve"> </w:t>
      </w:r>
      <w:hyperlink r:id="rId20">
        <w:r w:rsidRPr="0086443F">
          <w:rPr>
            <w:rFonts w:asciiTheme="minorHAnsi" w:hAnsiTheme="minorHAnsi"/>
            <w:color w:val="0462C1"/>
            <w:u w:val="single" w:color="0462C1"/>
          </w:rPr>
          <w:t>educational-needs-and-disability</w:t>
        </w:r>
      </w:hyperlink>
    </w:p>
    <w:p w14:paraId="69763B3F" w14:textId="77777777" w:rsidR="004A12E6" w:rsidRPr="0086443F" w:rsidRDefault="004A12E6" w:rsidP="004A12E6">
      <w:pPr>
        <w:pStyle w:val="BodyText"/>
        <w:spacing w:before="9"/>
        <w:rPr>
          <w:rFonts w:asciiTheme="minorHAnsi" w:hAnsiTheme="minorHAnsi"/>
          <w:sz w:val="29"/>
        </w:rPr>
      </w:pPr>
    </w:p>
    <w:p w14:paraId="77CBC44A" w14:textId="77777777" w:rsidR="004A12E6" w:rsidRPr="00194281" w:rsidRDefault="004A12E6" w:rsidP="004A12E6">
      <w:pPr>
        <w:pStyle w:val="Heading2"/>
        <w:spacing w:after="240" w:line="259" w:lineRule="auto"/>
        <w:ind w:right="288"/>
        <w:rPr>
          <w:rFonts w:asciiTheme="minorHAnsi" w:hAnsiTheme="minorHAnsi"/>
        </w:rPr>
      </w:pPr>
      <w:bookmarkStart w:id="18" w:name="_Toc40779886"/>
      <w:bookmarkStart w:id="19" w:name="_Toc42074119"/>
      <w:r w:rsidRPr="0086443F">
        <w:rPr>
          <w:rFonts w:asciiTheme="minorHAnsi" w:hAnsiTheme="minorHAnsi"/>
        </w:rPr>
        <w:t>Would the SEND Tribunal consider social care needs and/or provision that are already being addressed in a separate court process?</w:t>
      </w:r>
      <w:bookmarkEnd w:id="18"/>
      <w:bookmarkEnd w:id="19"/>
    </w:p>
    <w:p w14:paraId="5F363401" w14:textId="21237059" w:rsidR="004A12E6" w:rsidRDefault="004A12E6" w:rsidP="004A12E6">
      <w:pPr>
        <w:pStyle w:val="BodyText"/>
        <w:spacing w:before="77" w:after="240" w:line="259" w:lineRule="auto"/>
        <w:ind w:right="34"/>
        <w:rPr>
          <w:rFonts w:asciiTheme="minorHAnsi" w:hAnsiTheme="minorHAnsi"/>
        </w:rPr>
      </w:pPr>
      <w:r w:rsidRPr="0086443F">
        <w:rPr>
          <w:rFonts w:asciiTheme="minorHAnsi" w:hAnsiTheme="minorHAnsi"/>
        </w:rPr>
        <w:t xml:space="preserve">Yes. The Tribunal would still hear the whole </w:t>
      </w:r>
      <w:r w:rsidR="001932D1">
        <w:rPr>
          <w:rFonts w:asciiTheme="minorHAnsi" w:hAnsiTheme="minorHAnsi"/>
        </w:rPr>
        <w:t>SEND Tribunal: extended appeal</w:t>
      </w:r>
      <w:r w:rsidRPr="0086443F">
        <w:rPr>
          <w:rFonts w:asciiTheme="minorHAnsi" w:hAnsiTheme="minorHAnsi"/>
        </w:rPr>
        <w:t>. Social Care proceedings elsewhere do not stop the SEND appeal. The LA should inform the Tribunal what is happening and that can be taken into account, but other proceedings will not stop the Tribunal from looking at and recommending on the social care element under appeal.</w:t>
      </w:r>
    </w:p>
    <w:p w14:paraId="3D760492" w14:textId="77777777" w:rsidR="004A12E6" w:rsidRDefault="004A12E6" w:rsidP="004A12E6">
      <w:pPr>
        <w:pStyle w:val="BodyText"/>
        <w:spacing w:before="77" w:line="259" w:lineRule="auto"/>
        <w:ind w:right="751"/>
        <w:rPr>
          <w:rFonts w:asciiTheme="minorHAnsi" w:hAnsiTheme="minorHAnsi"/>
        </w:rPr>
      </w:pPr>
    </w:p>
    <w:p w14:paraId="24DAE26F" w14:textId="0CFE676B" w:rsidR="0071617F" w:rsidRDefault="0071617F" w:rsidP="004A12E6">
      <w:pPr>
        <w:pStyle w:val="BodyText"/>
        <w:spacing w:before="120" w:after="0" w:line="240" w:lineRule="auto"/>
        <w:ind w:right="578"/>
        <w:rPr>
          <w:rFonts w:asciiTheme="minorHAnsi" w:eastAsiaTheme="majorEastAsia" w:hAnsiTheme="minorHAnsi" w:cstheme="majorBidi"/>
          <w:color w:val="2F5496" w:themeColor="accent1" w:themeShade="BF"/>
          <w:sz w:val="28"/>
          <w:szCs w:val="28"/>
        </w:rPr>
      </w:pPr>
      <w:r w:rsidRPr="0071617F">
        <w:rPr>
          <w:rFonts w:asciiTheme="minorHAnsi" w:eastAsiaTheme="majorEastAsia" w:hAnsiTheme="minorHAnsi" w:cstheme="majorBidi"/>
          <w:color w:val="2F5496" w:themeColor="accent1" w:themeShade="BF"/>
          <w:sz w:val="28"/>
          <w:szCs w:val="28"/>
        </w:rPr>
        <w:t xml:space="preserve">What will be expected of </w:t>
      </w:r>
      <w:r>
        <w:rPr>
          <w:rFonts w:asciiTheme="minorHAnsi" w:eastAsiaTheme="majorEastAsia" w:hAnsiTheme="minorHAnsi" w:cstheme="majorBidi"/>
          <w:color w:val="2F5496" w:themeColor="accent1" w:themeShade="BF"/>
          <w:sz w:val="28"/>
          <w:szCs w:val="28"/>
        </w:rPr>
        <w:t>health commissioners</w:t>
      </w:r>
      <w:r w:rsidRPr="0071617F">
        <w:rPr>
          <w:rFonts w:asciiTheme="minorHAnsi" w:eastAsiaTheme="majorEastAsia" w:hAnsiTheme="minorHAnsi" w:cstheme="majorBidi"/>
          <w:color w:val="2F5496" w:themeColor="accent1" w:themeShade="BF"/>
          <w:sz w:val="28"/>
          <w:szCs w:val="28"/>
        </w:rPr>
        <w:t xml:space="preserve"> in order to prepare and plan for an appeal to the tribunal</w:t>
      </w:r>
      <w:r>
        <w:rPr>
          <w:rFonts w:asciiTheme="minorHAnsi" w:eastAsiaTheme="majorEastAsia" w:hAnsiTheme="minorHAnsi" w:cstheme="majorBidi"/>
          <w:color w:val="2F5496" w:themeColor="accent1" w:themeShade="BF"/>
          <w:sz w:val="28"/>
          <w:szCs w:val="28"/>
        </w:rPr>
        <w:t>?</w:t>
      </w:r>
    </w:p>
    <w:p w14:paraId="7E7DCE77" w14:textId="28CEE95A" w:rsidR="004A12E6" w:rsidRPr="0086443F" w:rsidRDefault="004A12E6" w:rsidP="004A12E6">
      <w:pPr>
        <w:pStyle w:val="BodyText"/>
        <w:spacing w:before="120" w:after="0" w:line="240" w:lineRule="auto"/>
        <w:ind w:right="578"/>
        <w:rPr>
          <w:rFonts w:asciiTheme="minorHAnsi" w:hAnsiTheme="minorHAnsi"/>
        </w:rPr>
      </w:pPr>
      <w:r w:rsidRPr="0086443F">
        <w:rPr>
          <w:rFonts w:asciiTheme="minorHAnsi" w:hAnsiTheme="minorHAnsi"/>
        </w:rPr>
        <w:t>Every case will be different and will include the gathering of evidence, creating an outline argument, sending evidence to the LA and case management activity.</w:t>
      </w:r>
    </w:p>
    <w:p w14:paraId="3B66A849" w14:textId="77777777" w:rsidR="004A12E6" w:rsidRDefault="004A12E6" w:rsidP="004A12E6">
      <w:pPr>
        <w:pStyle w:val="BodyText"/>
        <w:spacing w:after="0" w:line="240" w:lineRule="auto"/>
        <w:ind w:right="34"/>
        <w:rPr>
          <w:rFonts w:asciiTheme="minorHAnsi" w:hAnsiTheme="minorHAnsi"/>
        </w:rPr>
      </w:pPr>
    </w:p>
    <w:p w14:paraId="6868E806" w14:textId="2402A3F6" w:rsidR="004A12E6" w:rsidRPr="0086443F" w:rsidRDefault="004A12E6" w:rsidP="00C8204E">
      <w:pPr>
        <w:pStyle w:val="BodyText"/>
        <w:spacing w:after="0" w:line="240" w:lineRule="auto"/>
        <w:ind w:right="34"/>
        <w:rPr>
          <w:rFonts w:asciiTheme="minorHAnsi" w:hAnsiTheme="minorHAnsi"/>
        </w:rPr>
      </w:pPr>
      <w:r w:rsidRPr="0086443F">
        <w:rPr>
          <w:rFonts w:asciiTheme="minorHAnsi" w:hAnsiTheme="minorHAnsi"/>
        </w:rPr>
        <w:lastRenderedPageBreak/>
        <w:t>There will also be the expectation of sending a witness to a trial hearing if</w:t>
      </w:r>
      <w:r>
        <w:rPr>
          <w:rFonts w:asciiTheme="minorHAnsi" w:hAnsiTheme="minorHAnsi"/>
        </w:rPr>
        <w:t xml:space="preserve"> </w:t>
      </w:r>
      <w:r w:rsidRPr="0086443F">
        <w:rPr>
          <w:rFonts w:asciiTheme="minorHAnsi" w:hAnsiTheme="minorHAnsi"/>
        </w:rPr>
        <w:t>appropriate and responding to parents and the local authority about recommendations from the SEND Tribunal.</w:t>
      </w:r>
    </w:p>
    <w:p w14:paraId="1B9A0C11" w14:textId="77777777" w:rsidR="004A12E6" w:rsidRPr="00194281" w:rsidRDefault="004A12E6" w:rsidP="004A12E6">
      <w:pPr>
        <w:pStyle w:val="Heading1"/>
        <w:spacing w:before="158"/>
        <w:rPr>
          <w:rFonts w:asciiTheme="minorHAnsi" w:hAnsiTheme="minorHAnsi"/>
        </w:rPr>
      </w:pPr>
      <w:r w:rsidRPr="00194281">
        <w:rPr>
          <w:rFonts w:asciiTheme="minorHAnsi" w:hAnsiTheme="minorHAnsi"/>
          <w:spacing w:val="-80"/>
          <w:w w:val="99"/>
        </w:rPr>
        <w:t xml:space="preserve"> </w:t>
      </w:r>
      <w:bookmarkStart w:id="20" w:name="_Toc42074121"/>
      <w:r w:rsidRPr="00194281">
        <w:rPr>
          <w:rFonts w:asciiTheme="minorHAnsi" w:hAnsiTheme="minorHAnsi"/>
          <w:spacing w:val="-10"/>
        </w:rPr>
        <w:t>Mediation</w:t>
      </w:r>
      <w:bookmarkEnd w:id="20"/>
    </w:p>
    <w:p w14:paraId="7FCDB280" w14:textId="77777777" w:rsidR="004A12E6" w:rsidRPr="0086443F" w:rsidRDefault="004A12E6" w:rsidP="004A12E6">
      <w:pPr>
        <w:pStyle w:val="BodyText"/>
        <w:rPr>
          <w:rFonts w:asciiTheme="minorHAnsi" w:hAnsiTheme="minorHAnsi"/>
          <w:b/>
          <w:sz w:val="16"/>
        </w:rPr>
      </w:pPr>
    </w:p>
    <w:p w14:paraId="1145DFE6" w14:textId="5D918A83" w:rsidR="004A12E6" w:rsidRPr="001D29F8" w:rsidRDefault="004A12E6" w:rsidP="004A12E6">
      <w:pPr>
        <w:pStyle w:val="Heading2"/>
        <w:spacing w:after="240" w:line="276" w:lineRule="auto"/>
        <w:rPr>
          <w:rFonts w:asciiTheme="minorHAnsi" w:hAnsiTheme="minorHAnsi"/>
        </w:rPr>
      </w:pPr>
      <w:bookmarkStart w:id="21" w:name="_Toc40779888"/>
      <w:bookmarkStart w:id="22" w:name="_Toc42074122"/>
      <w:r w:rsidRPr="00B675B7">
        <w:rPr>
          <w:rFonts w:asciiTheme="minorHAnsi" w:hAnsiTheme="minorHAnsi"/>
        </w:rPr>
        <w:t xml:space="preserve">What are the </w:t>
      </w:r>
      <w:r w:rsidR="00F05330">
        <w:rPr>
          <w:rFonts w:asciiTheme="minorHAnsi" w:hAnsiTheme="minorHAnsi"/>
        </w:rPr>
        <w:t xml:space="preserve">circumstances for choosing to use </w:t>
      </w:r>
      <w:r w:rsidRPr="00B675B7">
        <w:rPr>
          <w:rFonts w:asciiTheme="minorHAnsi" w:hAnsiTheme="minorHAnsi"/>
        </w:rPr>
        <w:t>mediation?</w:t>
      </w:r>
      <w:bookmarkEnd w:id="21"/>
      <w:bookmarkEnd w:id="22"/>
    </w:p>
    <w:p w14:paraId="06F26F2C" w14:textId="77777777" w:rsidR="00F35213" w:rsidRDefault="00A403BC" w:rsidP="00F35213">
      <w:pPr>
        <w:pStyle w:val="BodyText"/>
        <w:spacing w:after="240" w:line="276" w:lineRule="auto"/>
        <w:ind w:right="312"/>
        <w:rPr>
          <w:rFonts w:asciiTheme="minorHAnsi" w:hAnsiTheme="minorHAnsi"/>
        </w:rPr>
      </w:pPr>
      <w:r>
        <w:rPr>
          <w:rFonts w:asciiTheme="minorHAnsi" w:hAnsiTheme="minorHAnsi"/>
        </w:rPr>
        <w:t xml:space="preserve">Mediation is an informal structured process that aims to reach resolutions to disagreements. </w:t>
      </w:r>
      <w:r w:rsidR="00C8679D">
        <w:rPr>
          <w:rFonts w:asciiTheme="minorHAnsi" w:hAnsiTheme="minorHAnsi"/>
        </w:rPr>
        <w:t>It is specifically for decisions related to EHC needs assessments and plans</w:t>
      </w:r>
      <w:r w:rsidR="00894D78">
        <w:rPr>
          <w:rFonts w:asciiTheme="minorHAnsi" w:hAnsiTheme="minorHAnsi"/>
        </w:rPr>
        <w:t xml:space="preserve">, therefore parents and young people can choose to use mediation in the following circumstances: </w:t>
      </w:r>
    </w:p>
    <w:p w14:paraId="78DD29A5" w14:textId="0F7497DB" w:rsidR="00F35213" w:rsidRPr="00F35213" w:rsidRDefault="00F35213" w:rsidP="00C32957">
      <w:pPr>
        <w:pStyle w:val="BodyText"/>
        <w:numPr>
          <w:ilvl w:val="0"/>
          <w:numId w:val="8"/>
        </w:numPr>
        <w:spacing w:after="240" w:line="240" w:lineRule="auto"/>
        <w:ind w:right="312"/>
        <w:rPr>
          <w:rFonts w:asciiTheme="minorHAnsi" w:hAnsiTheme="minorHAnsi"/>
        </w:rPr>
      </w:pPr>
      <w:r w:rsidRPr="00F35213">
        <w:rPr>
          <w:rFonts w:asciiTheme="minorHAnsi" w:hAnsiTheme="minorHAnsi"/>
        </w:rPr>
        <w:t>Following a decision by a local authority not to carry out an EHC needs assessment.</w:t>
      </w:r>
    </w:p>
    <w:p w14:paraId="55362139" w14:textId="0D91E090" w:rsidR="00F35213" w:rsidRPr="00F35213" w:rsidRDefault="00F35213" w:rsidP="00C32957">
      <w:pPr>
        <w:pStyle w:val="BodyText"/>
        <w:numPr>
          <w:ilvl w:val="0"/>
          <w:numId w:val="8"/>
        </w:numPr>
        <w:spacing w:after="240" w:line="240" w:lineRule="auto"/>
        <w:ind w:right="312"/>
        <w:rPr>
          <w:rFonts w:asciiTheme="minorHAnsi" w:hAnsiTheme="minorHAnsi"/>
        </w:rPr>
      </w:pPr>
      <w:r w:rsidRPr="00F35213">
        <w:rPr>
          <w:rFonts w:asciiTheme="minorHAnsi" w:hAnsiTheme="minorHAnsi"/>
        </w:rPr>
        <w:t>Following a decision by a local authority not to draw up or amend an EHC plan, but only if the refusal to</w:t>
      </w:r>
      <w:r>
        <w:rPr>
          <w:rFonts w:asciiTheme="minorHAnsi" w:hAnsiTheme="minorHAnsi"/>
        </w:rPr>
        <w:t xml:space="preserve"> </w:t>
      </w:r>
      <w:r w:rsidRPr="00F35213">
        <w:rPr>
          <w:rFonts w:asciiTheme="minorHAnsi" w:hAnsiTheme="minorHAnsi"/>
        </w:rPr>
        <w:t>amend follows an Annual Review.</w:t>
      </w:r>
    </w:p>
    <w:p w14:paraId="7A144470" w14:textId="77777777" w:rsidR="00F35213" w:rsidRDefault="00F35213" w:rsidP="00C32957">
      <w:pPr>
        <w:pStyle w:val="BodyText"/>
        <w:numPr>
          <w:ilvl w:val="0"/>
          <w:numId w:val="8"/>
        </w:numPr>
        <w:spacing w:after="240" w:line="240" w:lineRule="auto"/>
        <w:ind w:right="312"/>
        <w:rPr>
          <w:rFonts w:asciiTheme="minorHAnsi" w:hAnsiTheme="minorHAnsi"/>
        </w:rPr>
      </w:pPr>
      <w:r w:rsidRPr="00F35213">
        <w:rPr>
          <w:rFonts w:asciiTheme="minorHAnsi" w:hAnsiTheme="minorHAnsi"/>
        </w:rPr>
        <w:t>Where there is a disagreement about the needs and/or provision set out in an EHC plan.</w:t>
      </w:r>
    </w:p>
    <w:p w14:paraId="2F89BD87" w14:textId="1BEDE8D7" w:rsidR="00C8204E" w:rsidRDefault="00F35213" w:rsidP="00C8204E">
      <w:pPr>
        <w:pStyle w:val="BodyText"/>
        <w:numPr>
          <w:ilvl w:val="0"/>
          <w:numId w:val="8"/>
        </w:numPr>
        <w:spacing w:after="240" w:line="240" w:lineRule="auto"/>
        <w:ind w:right="312"/>
        <w:rPr>
          <w:rFonts w:asciiTheme="minorHAnsi" w:hAnsiTheme="minorHAnsi"/>
        </w:rPr>
      </w:pPr>
      <w:r w:rsidRPr="00F35213">
        <w:rPr>
          <w:rFonts w:asciiTheme="minorHAnsi" w:hAnsiTheme="minorHAnsi"/>
        </w:rPr>
        <w:t>Following a decision by a local authority not to amend an EHC plan or a decision to cease an EHC plan.</w:t>
      </w:r>
    </w:p>
    <w:p w14:paraId="110A3B60" w14:textId="77777777" w:rsidR="00C8204E" w:rsidRPr="00C8204E" w:rsidRDefault="00C8204E" w:rsidP="00C8204E">
      <w:pPr>
        <w:pStyle w:val="BodyText"/>
        <w:spacing w:after="240" w:line="240" w:lineRule="auto"/>
        <w:ind w:right="312"/>
        <w:rPr>
          <w:rFonts w:asciiTheme="minorHAnsi" w:hAnsiTheme="minorHAnsi"/>
        </w:rPr>
      </w:pPr>
    </w:p>
    <w:p w14:paraId="34A9A125" w14:textId="5FA21395" w:rsidR="00F05330" w:rsidRPr="001F281C" w:rsidRDefault="00F05330" w:rsidP="004A12E6">
      <w:pPr>
        <w:pStyle w:val="BodyText"/>
        <w:spacing w:after="240" w:line="276" w:lineRule="auto"/>
        <w:ind w:right="312"/>
        <w:rPr>
          <w:rFonts w:asciiTheme="minorHAnsi" w:hAnsiTheme="minorHAnsi"/>
          <w:color w:val="2F5496" w:themeColor="accent1" w:themeShade="BF"/>
          <w:sz w:val="28"/>
          <w:szCs w:val="28"/>
        </w:rPr>
      </w:pPr>
      <w:r w:rsidRPr="001F281C">
        <w:rPr>
          <w:rFonts w:asciiTheme="minorHAnsi" w:hAnsiTheme="minorHAnsi"/>
          <w:color w:val="2F5496" w:themeColor="accent1" w:themeShade="BF"/>
          <w:sz w:val="28"/>
          <w:szCs w:val="28"/>
        </w:rPr>
        <w:t>What is the process for initiating mediation?</w:t>
      </w:r>
    </w:p>
    <w:p w14:paraId="451779BF" w14:textId="3713EF9B" w:rsidR="00F026D7" w:rsidRDefault="0065085B" w:rsidP="00F026D7">
      <w:pPr>
        <w:pStyle w:val="BodyText"/>
        <w:spacing w:after="240" w:line="276" w:lineRule="auto"/>
        <w:ind w:right="312"/>
        <w:rPr>
          <w:rFonts w:asciiTheme="minorHAnsi" w:hAnsiTheme="minorHAnsi"/>
        </w:rPr>
      </w:pPr>
      <w:r>
        <w:rPr>
          <w:rFonts w:asciiTheme="minorHAnsi" w:hAnsiTheme="minorHAnsi"/>
        </w:rPr>
        <w:t>The</w:t>
      </w:r>
      <w:r w:rsidR="004A12E6" w:rsidRPr="0086443F">
        <w:rPr>
          <w:rFonts w:asciiTheme="minorHAnsi" w:hAnsiTheme="minorHAnsi"/>
        </w:rPr>
        <w:t xml:space="preserve"> parents and young people must contact a mediation adviser within 2 months of the LA decision, unless the issue is solely about the naming of the school or educational institution. </w:t>
      </w:r>
      <w:r w:rsidR="00F026D7" w:rsidRPr="0086443F">
        <w:rPr>
          <w:rFonts w:asciiTheme="minorHAnsi" w:hAnsiTheme="minorHAnsi"/>
        </w:rPr>
        <w:t>Parents and young people may choose whether to raise their health and/or social care issues at mediation.</w:t>
      </w:r>
    </w:p>
    <w:p w14:paraId="5F215D13" w14:textId="1872FC2E" w:rsidR="00F026D7" w:rsidRDefault="004A12E6" w:rsidP="00F026D7">
      <w:pPr>
        <w:pStyle w:val="BodyText"/>
        <w:spacing w:after="240" w:line="276" w:lineRule="auto"/>
        <w:ind w:right="312"/>
        <w:rPr>
          <w:rFonts w:asciiTheme="minorHAnsi" w:hAnsiTheme="minorHAnsi"/>
        </w:rPr>
      </w:pPr>
      <w:r w:rsidRPr="0086443F">
        <w:rPr>
          <w:rFonts w:asciiTheme="minorHAnsi" w:hAnsiTheme="minorHAnsi"/>
        </w:rPr>
        <w:t>The mediation adviser will provide advice about going to mediation</w:t>
      </w:r>
      <w:r w:rsidR="00C32957">
        <w:rPr>
          <w:rFonts w:asciiTheme="minorHAnsi" w:hAnsiTheme="minorHAnsi"/>
        </w:rPr>
        <w:t xml:space="preserve"> </w:t>
      </w:r>
      <w:r w:rsidR="009B5F53">
        <w:rPr>
          <w:rFonts w:asciiTheme="minorHAnsi" w:hAnsiTheme="minorHAnsi"/>
        </w:rPr>
        <w:t>and</w:t>
      </w:r>
      <w:r w:rsidR="00F026D7">
        <w:rPr>
          <w:rFonts w:asciiTheme="minorHAnsi" w:hAnsiTheme="minorHAnsi"/>
        </w:rPr>
        <w:t xml:space="preserve"> will inform the local authority that the parent or young person wants to go to mediation. The local authority must then ensure that a mediation session is arranged within 30 days.</w:t>
      </w:r>
    </w:p>
    <w:p w14:paraId="40AB36B9" w14:textId="12DBF16A" w:rsidR="004A12E6" w:rsidRDefault="00465A66" w:rsidP="004A12E6">
      <w:pPr>
        <w:pStyle w:val="BodyText"/>
        <w:spacing w:after="240" w:line="276" w:lineRule="auto"/>
        <w:ind w:right="312"/>
        <w:rPr>
          <w:rFonts w:asciiTheme="minorHAnsi" w:hAnsiTheme="minorHAnsi"/>
        </w:rPr>
      </w:pPr>
      <w:r>
        <w:rPr>
          <w:rFonts w:asciiTheme="minorHAnsi" w:hAnsiTheme="minorHAnsi"/>
        </w:rPr>
        <w:t xml:space="preserve">Contact details of the mediation arrangements are set out on the local offer. </w:t>
      </w:r>
    </w:p>
    <w:p w14:paraId="05BEC415" w14:textId="50949F5A" w:rsidR="0090332C" w:rsidRDefault="0090332C" w:rsidP="0090332C">
      <w:pPr>
        <w:pStyle w:val="BodyText"/>
        <w:spacing w:after="240" w:line="276" w:lineRule="auto"/>
        <w:ind w:right="312"/>
        <w:rPr>
          <w:rFonts w:asciiTheme="minorHAnsi" w:hAnsiTheme="minorHAnsi"/>
        </w:rPr>
      </w:pPr>
      <w:r>
        <w:rPr>
          <w:rFonts w:asciiTheme="minorHAnsi" w:hAnsiTheme="minorHAnsi"/>
        </w:rPr>
        <w:t xml:space="preserve">Full details of the statutory duties of local authorities in relation to </w:t>
      </w:r>
      <w:r w:rsidR="00B01700">
        <w:rPr>
          <w:rFonts w:asciiTheme="minorHAnsi" w:hAnsiTheme="minorHAnsi"/>
        </w:rPr>
        <w:t>m</w:t>
      </w:r>
      <w:r>
        <w:rPr>
          <w:rFonts w:asciiTheme="minorHAnsi" w:hAnsiTheme="minorHAnsi"/>
        </w:rPr>
        <w:t xml:space="preserve">ediation can be found in </w:t>
      </w:r>
      <w:hyperlink r:id="rId21" w:history="1">
        <w:r w:rsidRPr="00165172">
          <w:rPr>
            <w:rStyle w:val="Hyperlink"/>
            <w:rFonts w:asciiTheme="minorHAnsi" w:hAnsiTheme="minorHAnsi"/>
          </w:rPr>
          <w:t>chapter 11 of the SEND Code of Practice</w:t>
        </w:r>
      </w:hyperlink>
      <w:r>
        <w:rPr>
          <w:rFonts w:asciiTheme="minorHAnsi" w:hAnsiTheme="minorHAnsi"/>
        </w:rPr>
        <w:t xml:space="preserve">. </w:t>
      </w:r>
    </w:p>
    <w:p w14:paraId="70B2127D" w14:textId="77777777" w:rsidR="00C8204E" w:rsidRDefault="00C8204E" w:rsidP="0090332C">
      <w:pPr>
        <w:pStyle w:val="BodyText"/>
        <w:spacing w:after="240" w:line="276" w:lineRule="auto"/>
        <w:ind w:right="312"/>
        <w:rPr>
          <w:rFonts w:asciiTheme="minorHAnsi" w:hAnsiTheme="minorHAnsi"/>
        </w:rPr>
      </w:pPr>
    </w:p>
    <w:p w14:paraId="76675BB4" w14:textId="77777777" w:rsidR="008832EA" w:rsidRDefault="008832EA" w:rsidP="003B3A81">
      <w:pPr>
        <w:pStyle w:val="BodyText"/>
        <w:spacing w:after="240" w:line="276" w:lineRule="auto"/>
        <w:ind w:right="312"/>
        <w:rPr>
          <w:rFonts w:asciiTheme="minorHAnsi" w:hAnsiTheme="minorHAnsi"/>
          <w:color w:val="2F5496" w:themeColor="accent1" w:themeShade="BF"/>
          <w:sz w:val="28"/>
          <w:szCs w:val="28"/>
        </w:rPr>
      </w:pPr>
    </w:p>
    <w:p w14:paraId="2ACCE6FD" w14:textId="72BA76AA" w:rsidR="00F05330" w:rsidRPr="0073426B" w:rsidRDefault="00F05330" w:rsidP="003B3A81">
      <w:pPr>
        <w:pStyle w:val="BodyText"/>
        <w:spacing w:after="240" w:line="276" w:lineRule="auto"/>
        <w:ind w:right="312"/>
        <w:rPr>
          <w:rFonts w:asciiTheme="minorHAnsi" w:hAnsiTheme="minorHAnsi"/>
          <w:color w:val="2F5496" w:themeColor="accent1" w:themeShade="BF"/>
          <w:sz w:val="28"/>
          <w:szCs w:val="28"/>
        </w:rPr>
      </w:pPr>
      <w:r w:rsidRPr="0073426B">
        <w:rPr>
          <w:rFonts w:asciiTheme="minorHAnsi" w:hAnsiTheme="minorHAnsi"/>
          <w:color w:val="2F5496" w:themeColor="accent1" w:themeShade="BF"/>
          <w:sz w:val="28"/>
          <w:szCs w:val="28"/>
        </w:rPr>
        <w:lastRenderedPageBreak/>
        <w:t>Do local authorities and health bodies have to take part in mediation?</w:t>
      </w:r>
    </w:p>
    <w:p w14:paraId="02243369" w14:textId="39DF08CB" w:rsidR="00FB21DD" w:rsidRDefault="003B3A81" w:rsidP="004A12E6">
      <w:pPr>
        <w:pStyle w:val="BodyText"/>
        <w:spacing w:after="240" w:line="276" w:lineRule="auto"/>
        <w:ind w:right="312"/>
        <w:rPr>
          <w:rFonts w:asciiTheme="minorHAnsi" w:hAnsiTheme="minorHAnsi"/>
        </w:rPr>
      </w:pPr>
      <w:r>
        <w:rPr>
          <w:rFonts w:asciiTheme="minorHAnsi" w:hAnsiTheme="minorHAnsi"/>
        </w:rPr>
        <w:t>If a parent of young person decides to go to mediation, there is a duty on local authorities to take part</w:t>
      </w:r>
      <w:r w:rsidR="0090332C">
        <w:rPr>
          <w:rFonts w:asciiTheme="minorHAnsi" w:hAnsiTheme="minorHAnsi"/>
        </w:rPr>
        <w:t>.</w:t>
      </w:r>
      <w:r w:rsidR="00C32957">
        <w:rPr>
          <w:rFonts w:asciiTheme="minorHAnsi" w:hAnsiTheme="minorHAnsi"/>
        </w:rPr>
        <w:t xml:space="preserve"> </w:t>
      </w:r>
      <w:r w:rsidR="0090332C">
        <w:rPr>
          <w:rFonts w:asciiTheme="minorHAnsi" w:hAnsiTheme="minorHAnsi"/>
        </w:rPr>
        <w:t>If the mediation is about the health element of the plan as well as either the education or social care parts of the plan then the health commissioning body or bodies must also take part.</w:t>
      </w:r>
    </w:p>
    <w:p w14:paraId="31A34530" w14:textId="3E1E496A" w:rsidR="00F05330" w:rsidRPr="0073426B" w:rsidRDefault="00F05330" w:rsidP="00F05330">
      <w:pPr>
        <w:pStyle w:val="BodyText"/>
        <w:spacing w:after="240" w:line="276" w:lineRule="auto"/>
        <w:ind w:right="312"/>
        <w:rPr>
          <w:rFonts w:asciiTheme="minorHAnsi" w:hAnsiTheme="minorHAnsi"/>
          <w:color w:val="2F5496" w:themeColor="accent1" w:themeShade="BF"/>
          <w:sz w:val="28"/>
          <w:szCs w:val="28"/>
        </w:rPr>
      </w:pPr>
      <w:r w:rsidRPr="0073426B">
        <w:rPr>
          <w:rFonts w:asciiTheme="minorHAnsi" w:hAnsiTheme="minorHAnsi"/>
          <w:color w:val="2F5496" w:themeColor="accent1" w:themeShade="BF"/>
          <w:sz w:val="28"/>
          <w:szCs w:val="28"/>
        </w:rPr>
        <w:t>Is mediation compulsory</w:t>
      </w:r>
      <w:r w:rsidR="006E64D2" w:rsidRPr="0073426B">
        <w:rPr>
          <w:rFonts w:asciiTheme="minorHAnsi" w:hAnsiTheme="minorHAnsi"/>
          <w:color w:val="2F5496" w:themeColor="accent1" w:themeShade="BF"/>
          <w:sz w:val="28"/>
          <w:szCs w:val="28"/>
        </w:rPr>
        <w:t xml:space="preserve"> for going to SEND tribunal</w:t>
      </w:r>
      <w:r w:rsidRPr="0073426B">
        <w:rPr>
          <w:rFonts w:asciiTheme="minorHAnsi" w:hAnsiTheme="minorHAnsi"/>
          <w:color w:val="2F5496" w:themeColor="accent1" w:themeShade="BF"/>
          <w:sz w:val="28"/>
          <w:szCs w:val="28"/>
        </w:rPr>
        <w:t>?</w:t>
      </w:r>
    </w:p>
    <w:p w14:paraId="20D49AF4" w14:textId="77D9637D" w:rsidR="00FB1F90" w:rsidRDefault="00F71061" w:rsidP="00AC7D38">
      <w:pPr>
        <w:pStyle w:val="BodyText"/>
        <w:spacing w:after="240" w:line="276" w:lineRule="auto"/>
        <w:ind w:right="312"/>
        <w:rPr>
          <w:rFonts w:asciiTheme="minorHAnsi" w:hAnsiTheme="minorHAnsi"/>
        </w:rPr>
      </w:pPr>
      <w:r>
        <w:rPr>
          <w:rFonts w:asciiTheme="minorHAnsi" w:hAnsiTheme="minorHAnsi"/>
        </w:rPr>
        <w:t xml:space="preserve">To take an appeal to the SEND tribunal the parent and young person must </w:t>
      </w:r>
      <w:r w:rsidR="00E66A1A">
        <w:rPr>
          <w:rFonts w:asciiTheme="minorHAnsi" w:hAnsiTheme="minorHAnsi"/>
        </w:rPr>
        <w:t xml:space="preserve">consider mediation first. </w:t>
      </w:r>
      <w:r w:rsidR="004111FE">
        <w:rPr>
          <w:rFonts w:asciiTheme="minorHAnsi" w:hAnsiTheme="minorHAnsi"/>
        </w:rPr>
        <w:t>If a</w:t>
      </w:r>
      <w:r w:rsidR="00290662">
        <w:rPr>
          <w:rFonts w:asciiTheme="minorHAnsi" w:hAnsiTheme="minorHAnsi"/>
        </w:rPr>
        <w:t>fter speaking to a mediation advisor</w:t>
      </w:r>
      <w:r w:rsidR="0076460D">
        <w:rPr>
          <w:rFonts w:asciiTheme="minorHAnsi" w:hAnsiTheme="minorHAnsi"/>
        </w:rPr>
        <w:t xml:space="preserve"> the parent or young person</w:t>
      </w:r>
      <w:r w:rsidR="00C94B94">
        <w:rPr>
          <w:rFonts w:asciiTheme="minorHAnsi" w:hAnsiTheme="minorHAnsi"/>
        </w:rPr>
        <w:t xml:space="preserve"> </w:t>
      </w:r>
      <w:r w:rsidR="004111FE">
        <w:rPr>
          <w:rFonts w:asciiTheme="minorHAnsi" w:hAnsiTheme="minorHAnsi"/>
        </w:rPr>
        <w:t>decides</w:t>
      </w:r>
      <w:r w:rsidR="00C94B94">
        <w:rPr>
          <w:rFonts w:asciiTheme="minorHAnsi" w:hAnsiTheme="minorHAnsi"/>
        </w:rPr>
        <w:t xml:space="preserve"> not to use mediation </w:t>
      </w:r>
      <w:r w:rsidR="004111FE">
        <w:rPr>
          <w:rFonts w:asciiTheme="minorHAnsi" w:hAnsiTheme="minorHAnsi"/>
        </w:rPr>
        <w:t xml:space="preserve">the mediation advisor will </w:t>
      </w:r>
      <w:r w:rsidR="002251E3">
        <w:rPr>
          <w:rFonts w:asciiTheme="minorHAnsi" w:hAnsiTheme="minorHAnsi"/>
        </w:rPr>
        <w:t xml:space="preserve">issue </w:t>
      </w:r>
      <w:r w:rsidR="00AC7D38">
        <w:rPr>
          <w:rFonts w:asciiTheme="minorHAnsi" w:hAnsiTheme="minorHAnsi"/>
        </w:rPr>
        <w:t xml:space="preserve">will </w:t>
      </w:r>
      <w:r w:rsidR="00AC7D38" w:rsidRPr="00AC7D38">
        <w:rPr>
          <w:rFonts w:asciiTheme="minorHAnsi" w:hAnsiTheme="minorHAnsi"/>
        </w:rPr>
        <w:t xml:space="preserve">issue a certificate within 3 working days to confirm that </w:t>
      </w:r>
      <w:r w:rsidR="000A0FF5">
        <w:rPr>
          <w:rFonts w:asciiTheme="minorHAnsi" w:hAnsiTheme="minorHAnsi"/>
        </w:rPr>
        <w:t>mediation</w:t>
      </w:r>
      <w:r w:rsidR="00AC7D38" w:rsidRPr="00AC7D38">
        <w:rPr>
          <w:rFonts w:asciiTheme="minorHAnsi" w:hAnsiTheme="minorHAnsi"/>
        </w:rPr>
        <w:t xml:space="preserve"> information has been provided</w:t>
      </w:r>
      <w:r w:rsidR="00B504C4">
        <w:rPr>
          <w:rFonts w:asciiTheme="minorHAnsi" w:hAnsiTheme="minorHAnsi"/>
        </w:rPr>
        <w:t>.</w:t>
      </w:r>
    </w:p>
    <w:p w14:paraId="69CAA5B9" w14:textId="77777777" w:rsidR="00FB21DD" w:rsidRPr="009028AD" w:rsidRDefault="00FB21DD" w:rsidP="00AC7D38">
      <w:pPr>
        <w:pStyle w:val="BodyText"/>
        <w:spacing w:after="240" w:line="276" w:lineRule="auto"/>
        <w:ind w:right="312"/>
        <w:rPr>
          <w:rFonts w:asciiTheme="minorHAnsi" w:hAnsiTheme="minorHAnsi"/>
        </w:rPr>
      </w:pPr>
    </w:p>
    <w:p w14:paraId="1169C390" w14:textId="77777777" w:rsidR="004A12E6" w:rsidRPr="001D29F8" w:rsidRDefault="004A12E6" w:rsidP="004A12E6">
      <w:pPr>
        <w:pStyle w:val="Heading1"/>
        <w:rPr>
          <w:rFonts w:asciiTheme="minorHAnsi" w:hAnsiTheme="minorHAnsi"/>
        </w:rPr>
      </w:pPr>
      <w:r w:rsidRPr="0086443F">
        <w:rPr>
          <w:rFonts w:asciiTheme="minorHAnsi" w:hAnsiTheme="minorHAnsi"/>
          <w:spacing w:val="-80"/>
          <w:w w:val="99"/>
        </w:rPr>
        <w:t xml:space="preserve"> </w:t>
      </w:r>
      <w:bookmarkStart w:id="23" w:name="_Toc42074123"/>
      <w:r w:rsidRPr="001D29F8">
        <w:rPr>
          <w:rFonts w:asciiTheme="minorHAnsi" w:hAnsiTheme="minorHAnsi"/>
          <w:spacing w:val="-8"/>
        </w:rPr>
        <w:t xml:space="preserve">The </w:t>
      </w:r>
      <w:r w:rsidRPr="001D29F8">
        <w:rPr>
          <w:rFonts w:asciiTheme="minorHAnsi" w:hAnsiTheme="minorHAnsi"/>
          <w:spacing w:val="-12"/>
        </w:rPr>
        <w:t xml:space="preserve">Tribunal </w:t>
      </w:r>
      <w:r w:rsidRPr="001D29F8">
        <w:rPr>
          <w:rFonts w:asciiTheme="minorHAnsi" w:hAnsiTheme="minorHAnsi"/>
          <w:spacing w:val="-9"/>
        </w:rPr>
        <w:t>process</w:t>
      </w:r>
      <w:bookmarkEnd w:id="23"/>
    </w:p>
    <w:p w14:paraId="218018F2" w14:textId="77777777" w:rsidR="004A12E6" w:rsidRPr="0086443F" w:rsidRDefault="004A12E6" w:rsidP="004A12E6">
      <w:pPr>
        <w:pStyle w:val="BodyText"/>
        <w:rPr>
          <w:rFonts w:asciiTheme="minorHAnsi" w:hAnsiTheme="minorHAnsi"/>
          <w:b/>
          <w:sz w:val="20"/>
        </w:rPr>
      </w:pPr>
    </w:p>
    <w:p w14:paraId="4A49C724" w14:textId="77777777" w:rsidR="004A12E6" w:rsidRPr="0086443F" w:rsidRDefault="004A12E6" w:rsidP="004A12E6">
      <w:pPr>
        <w:pStyle w:val="Heading2"/>
        <w:spacing w:before="221"/>
        <w:ind w:right="1088"/>
        <w:rPr>
          <w:rFonts w:asciiTheme="minorHAnsi" w:hAnsiTheme="minorHAnsi"/>
        </w:rPr>
      </w:pPr>
      <w:bookmarkStart w:id="24" w:name="_Toc40779890"/>
      <w:bookmarkStart w:id="25" w:name="_Toc42074124"/>
      <w:r w:rsidRPr="0086443F">
        <w:rPr>
          <w:rFonts w:asciiTheme="minorHAnsi" w:hAnsiTheme="minorHAnsi"/>
        </w:rPr>
        <w:t>Will there be health and social care experts on the panel at the Tribunal hearing?</w:t>
      </w:r>
      <w:bookmarkEnd w:id="24"/>
      <w:bookmarkEnd w:id="25"/>
    </w:p>
    <w:p w14:paraId="0B699802" w14:textId="7A7C3A98" w:rsidR="004A12E6" w:rsidRDefault="004A12E6" w:rsidP="004A12E6">
      <w:pPr>
        <w:pStyle w:val="BodyText"/>
        <w:spacing w:before="120"/>
        <w:ind w:right="310"/>
        <w:rPr>
          <w:rFonts w:asciiTheme="minorHAnsi" w:hAnsiTheme="minorHAnsi"/>
        </w:rPr>
      </w:pPr>
      <w:r w:rsidRPr="0086443F">
        <w:rPr>
          <w:rFonts w:asciiTheme="minorHAnsi" w:hAnsiTheme="minorHAnsi"/>
        </w:rPr>
        <w:t xml:space="preserve">Appeals are heard by a judge and a panel of Tribunal members who have been appointed because of their knowledge and experience of children and young people with SEND. Panel members for the trial will have a health and/or social care background and be trained in SEND law. </w:t>
      </w:r>
    </w:p>
    <w:p w14:paraId="6CF935BA" w14:textId="77777777" w:rsidR="004A12E6" w:rsidRPr="0086443F" w:rsidRDefault="004A12E6" w:rsidP="004A12E6">
      <w:pPr>
        <w:pStyle w:val="BodyText"/>
        <w:spacing w:before="120"/>
        <w:ind w:right="310"/>
        <w:rPr>
          <w:rFonts w:asciiTheme="minorHAnsi" w:hAnsiTheme="minorHAnsi"/>
        </w:rPr>
      </w:pPr>
    </w:p>
    <w:p w14:paraId="2F8F18D5" w14:textId="77777777" w:rsidR="004A12E6" w:rsidRPr="0086443F" w:rsidRDefault="004A12E6" w:rsidP="004A12E6">
      <w:pPr>
        <w:pStyle w:val="Heading2"/>
        <w:spacing w:before="120"/>
        <w:ind w:right="1114"/>
        <w:rPr>
          <w:rFonts w:asciiTheme="minorHAnsi" w:hAnsiTheme="minorHAnsi"/>
        </w:rPr>
      </w:pPr>
      <w:bookmarkStart w:id="26" w:name="_Toc40779891"/>
      <w:bookmarkStart w:id="27" w:name="_Toc42074125"/>
      <w:r w:rsidRPr="0086443F">
        <w:rPr>
          <w:rFonts w:asciiTheme="minorHAnsi" w:hAnsiTheme="minorHAnsi"/>
        </w:rPr>
        <w:t xml:space="preserve">Is there a way to be an observer at a </w:t>
      </w:r>
      <w:r>
        <w:rPr>
          <w:rFonts w:asciiTheme="minorHAnsi" w:hAnsiTheme="minorHAnsi"/>
        </w:rPr>
        <w:t>T</w:t>
      </w:r>
      <w:r w:rsidRPr="0086443F">
        <w:rPr>
          <w:rFonts w:asciiTheme="minorHAnsi" w:hAnsiTheme="minorHAnsi"/>
        </w:rPr>
        <w:t>ribunal, and will this help support learning?</w:t>
      </w:r>
      <w:bookmarkEnd w:id="26"/>
      <w:bookmarkEnd w:id="27"/>
    </w:p>
    <w:p w14:paraId="1FB86B63" w14:textId="06BA18DF" w:rsidR="004A12E6" w:rsidRDefault="004A12E6" w:rsidP="004A12E6">
      <w:pPr>
        <w:pStyle w:val="BodyText"/>
        <w:spacing w:before="120"/>
        <w:ind w:right="312"/>
        <w:rPr>
          <w:rFonts w:asciiTheme="minorHAnsi" w:hAnsiTheme="minorHAnsi"/>
        </w:rPr>
      </w:pPr>
      <w:r w:rsidRPr="0086443F">
        <w:rPr>
          <w:rFonts w:asciiTheme="minorHAnsi" w:hAnsiTheme="minorHAnsi"/>
        </w:rPr>
        <w:t>Either party can apply for an observer to attend the hearing. Because all hearings are in private, a party will need to apply for permission to bring an observer and explain why their presence is required. If permission is granted, the observer cannot take any part in the hearing, or take notes, only observe the hearing. Normally the only circumstances in which an observer can attend a hearing is where a representative is training someone on the tribunal process. Permission to attend as an observer must be sought in writing at least 10 working days before the hearing.</w:t>
      </w:r>
    </w:p>
    <w:p w14:paraId="2C58CE3F" w14:textId="609DC90F" w:rsidR="00D82333" w:rsidRDefault="00D26318" w:rsidP="004A12E6">
      <w:pPr>
        <w:pStyle w:val="BodyText"/>
        <w:spacing w:before="120"/>
        <w:ind w:right="312"/>
        <w:rPr>
          <w:rFonts w:asciiTheme="minorHAnsi" w:hAnsiTheme="minorHAnsi"/>
          <w:b/>
          <w:bCs/>
        </w:rPr>
      </w:pPr>
      <w:r>
        <w:rPr>
          <w:rFonts w:asciiTheme="minorHAnsi" w:hAnsiTheme="minorHAnsi"/>
          <w:b/>
          <w:bCs/>
        </w:rPr>
        <w:t>During COVID-19</w:t>
      </w:r>
      <w:r w:rsidR="00422566" w:rsidRPr="00422566">
        <w:rPr>
          <w:rFonts w:asciiTheme="minorHAnsi" w:hAnsiTheme="minorHAnsi"/>
          <w:b/>
          <w:bCs/>
        </w:rPr>
        <w:t>:</w:t>
      </w:r>
    </w:p>
    <w:p w14:paraId="2DD61361" w14:textId="3F0C5F2C" w:rsidR="00422566" w:rsidRDefault="00422566" w:rsidP="004A12E6">
      <w:pPr>
        <w:pStyle w:val="BodyText"/>
        <w:spacing w:before="120"/>
        <w:ind w:right="312"/>
        <w:rPr>
          <w:rFonts w:asciiTheme="minorHAnsi" w:hAnsiTheme="minorHAnsi"/>
        </w:rPr>
      </w:pPr>
      <w:r>
        <w:rPr>
          <w:rFonts w:asciiTheme="minorHAnsi" w:hAnsiTheme="minorHAnsi"/>
        </w:rPr>
        <w:t>Open justice is continuing</w:t>
      </w:r>
      <w:r w:rsidR="00FB21DD">
        <w:rPr>
          <w:rFonts w:asciiTheme="minorHAnsi" w:hAnsiTheme="minorHAnsi"/>
        </w:rPr>
        <w:t xml:space="preserve"> </w:t>
      </w:r>
      <w:r w:rsidR="00FB21DD" w:rsidRPr="00FB21DD">
        <w:rPr>
          <w:rFonts w:asciiTheme="minorHAnsi" w:hAnsiTheme="minorHAnsi"/>
        </w:rPr>
        <w:t>as</w:t>
      </w:r>
      <w:r w:rsidR="00BB2E63">
        <w:rPr>
          <w:rFonts w:asciiTheme="minorHAnsi" w:hAnsiTheme="minorHAnsi"/>
        </w:rPr>
        <w:t xml:space="preserve"> </w:t>
      </w:r>
      <w:r w:rsidR="00D97D4F">
        <w:rPr>
          <w:rFonts w:asciiTheme="minorHAnsi" w:hAnsiTheme="minorHAnsi"/>
        </w:rPr>
        <w:t>HMCTS</w:t>
      </w:r>
      <w:r w:rsidR="00D97D4F" w:rsidRPr="00FB21DD">
        <w:rPr>
          <w:rFonts w:asciiTheme="minorHAnsi" w:hAnsiTheme="minorHAnsi"/>
        </w:rPr>
        <w:t xml:space="preserve"> increase</w:t>
      </w:r>
      <w:r w:rsidR="00FB21DD" w:rsidRPr="00FB21DD">
        <w:rPr>
          <w:rFonts w:asciiTheme="minorHAnsi" w:hAnsiTheme="minorHAnsi"/>
        </w:rPr>
        <w:t xml:space="preserve"> the use of audio and video technology</w:t>
      </w:r>
      <w:r w:rsidR="001359E0">
        <w:rPr>
          <w:rFonts w:asciiTheme="minorHAnsi" w:hAnsiTheme="minorHAnsi"/>
        </w:rPr>
        <w:t xml:space="preserve"> during the Covid-19 pandemic</w:t>
      </w:r>
      <w:r w:rsidR="00FB21DD" w:rsidRPr="00FB21DD">
        <w:rPr>
          <w:rFonts w:asciiTheme="minorHAnsi" w:hAnsiTheme="minorHAnsi"/>
        </w:rPr>
        <w:t xml:space="preserve">. </w:t>
      </w:r>
      <w:r w:rsidR="00715F5B">
        <w:rPr>
          <w:rFonts w:asciiTheme="minorHAnsi" w:hAnsiTheme="minorHAnsi"/>
        </w:rPr>
        <w:t xml:space="preserve">When considering the use of telephone and video technology </w:t>
      </w:r>
      <w:r w:rsidR="00AB4DC6">
        <w:rPr>
          <w:rFonts w:asciiTheme="minorHAnsi" w:hAnsiTheme="minorHAnsi"/>
        </w:rPr>
        <w:t xml:space="preserve">at tribunal, the </w:t>
      </w:r>
      <w:r w:rsidR="00A478E3">
        <w:rPr>
          <w:rFonts w:asciiTheme="minorHAnsi" w:hAnsiTheme="minorHAnsi"/>
        </w:rPr>
        <w:t xml:space="preserve">judiciary will abide by the principles of open justice as usual. </w:t>
      </w:r>
      <w:r w:rsidR="00762079">
        <w:rPr>
          <w:rFonts w:asciiTheme="minorHAnsi" w:hAnsiTheme="minorHAnsi"/>
        </w:rPr>
        <w:lastRenderedPageBreak/>
        <w:t>As they do now</w:t>
      </w:r>
      <w:r w:rsidR="00BC6191" w:rsidRPr="00BC6191">
        <w:rPr>
          <w:rFonts w:asciiTheme="minorHAnsi" w:hAnsiTheme="minorHAnsi"/>
        </w:rPr>
        <w:t xml:space="preserve">, judges may </w:t>
      </w:r>
      <w:r w:rsidR="00762079">
        <w:rPr>
          <w:rFonts w:asciiTheme="minorHAnsi" w:hAnsiTheme="minorHAnsi"/>
        </w:rPr>
        <w:t xml:space="preserve">also </w:t>
      </w:r>
      <w:r w:rsidR="00BC6191" w:rsidRPr="00BC6191">
        <w:rPr>
          <w:rFonts w:asciiTheme="minorHAnsi" w:hAnsiTheme="minorHAnsi"/>
        </w:rPr>
        <w:t>determine that a hearing should be held in private if</w:t>
      </w:r>
      <w:r w:rsidR="00762079">
        <w:rPr>
          <w:rFonts w:asciiTheme="minorHAnsi" w:hAnsiTheme="minorHAnsi"/>
        </w:rPr>
        <w:t xml:space="preserve"> they feel it is</w:t>
      </w:r>
      <w:r w:rsidR="00BC6191" w:rsidRPr="00BC6191">
        <w:rPr>
          <w:rFonts w:asciiTheme="minorHAnsi" w:hAnsiTheme="minorHAnsi"/>
        </w:rPr>
        <w:t xml:space="preserve"> </w:t>
      </w:r>
      <w:r w:rsidR="00762079">
        <w:rPr>
          <w:rFonts w:asciiTheme="minorHAnsi" w:hAnsiTheme="minorHAnsi"/>
        </w:rPr>
        <w:t>necessary.</w:t>
      </w:r>
    </w:p>
    <w:p w14:paraId="2DFBB393" w14:textId="42A6350E" w:rsidR="00BC6191" w:rsidRDefault="00BC6191" w:rsidP="004A12E6">
      <w:pPr>
        <w:pStyle w:val="BodyText"/>
        <w:spacing w:before="120"/>
        <w:ind w:right="312"/>
        <w:rPr>
          <w:rFonts w:asciiTheme="minorHAnsi" w:hAnsiTheme="minorHAnsi"/>
        </w:rPr>
      </w:pPr>
      <w:r>
        <w:rPr>
          <w:rFonts w:asciiTheme="minorHAnsi" w:hAnsiTheme="minorHAnsi"/>
        </w:rPr>
        <w:t xml:space="preserve">More information on this can be found at: </w:t>
      </w:r>
      <w:hyperlink r:id="rId22" w:anchor="open-justice" w:history="1">
        <w:r w:rsidR="00D26318" w:rsidRPr="00381ED6">
          <w:rPr>
            <w:rStyle w:val="Hyperlink"/>
            <w:rFonts w:asciiTheme="minorHAnsi" w:hAnsiTheme="minorHAnsi"/>
          </w:rPr>
          <w:t>https://www.gov.uk/guidance/hmcts-telephone-and-video-hearings-during-coronavirus-outbreak#open-justice</w:t>
        </w:r>
      </w:hyperlink>
    </w:p>
    <w:p w14:paraId="00FC7DCD" w14:textId="77777777" w:rsidR="004A12E6" w:rsidRPr="0086443F" w:rsidRDefault="004A12E6" w:rsidP="004A12E6">
      <w:pPr>
        <w:pStyle w:val="BodyText"/>
        <w:spacing w:before="120"/>
        <w:ind w:right="312"/>
        <w:rPr>
          <w:rFonts w:asciiTheme="minorHAnsi" w:hAnsiTheme="minorHAnsi"/>
        </w:rPr>
      </w:pPr>
    </w:p>
    <w:p w14:paraId="7172C3DD" w14:textId="77777777" w:rsidR="004A12E6" w:rsidRPr="0086443F" w:rsidRDefault="004A12E6" w:rsidP="004A12E6">
      <w:pPr>
        <w:pStyle w:val="Heading2"/>
        <w:spacing w:before="220"/>
        <w:rPr>
          <w:rFonts w:asciiTheme="minorHAnsi" w:hAnsiTheme="minorHAnsi"/>
        </w:rPr>
      </w:pPr>
      <w:bookmarkStart w:id="28" w:name="_Toc40779892"/>
      <w:bookmarkStart w:id="29" w:name="_Toc42074126"/>
      <w:r w:rsidRPr="0086443F">
        <w:rPr>
          <w:rFonts w:asciiTheme="minorHAnsi" w:hAnsiTheme="minorHAnsi"/>
        </w:rPr>
        <w:t>Do you have to apply to have an additional witness?</w:t>
      </w:r>
      <w:bookmarkEnd w:id="28"/>
      <w:bookmarkEnd w:id="29"/>
    </w:p>
    <w:p w14:paraId="5AD0DD6F" w14:textId="77777777" w:rsidR="004A12E6" w:rsidRDefault="004A12E6" w:rsidP="004A12E6">
      <w:pPr>
        <w:pStyle w:val="BodyText"/>
        <w:spacing w:before="120"/>
        <w:rPr>
          <w:rFonts w:asciiTheme="minorHAnsi" w:hAnsiTheme="minorHAnsi"/>
        </w:rPr>
      </w:pPr>
      <w:r w:rsidRPr="0086443F">
        <w:rPr>
          <w:rFonts w:asciiTheme="minorHAnsi" w:hAnsiTheme="minorHAnsi"/>
        </w:rPr>
        <w:t>Yes. Parties must inform the Tribunal on the attendance form of the names of any witnesses they intend to bring to the hearing. The Tribunal has limited the number of witnesses who can attend the hearing to three for each party, and careful thought</w:t>
      </w:r>
      <w:r>
        <w:rPr>
          <w:rFonts w:asciiTheme="minorHAnsi" w:hAnsiTheme="minorHAnsi"/>
        </w:rPr>
        <w:t xml:space="preserve"> </w:t>
      </w:r>
      <w:r w:rsidRPr="0086443F">
        <w:rPr>
          <w:rFonts w:asciiTheme="minorHAnsi" w:hAnsiTheme="minorHAnsi"/>
        </w:rPr>
        <w:t>should be given to the identification of the witnesses who are required at the</w:t>
      </w:r>
      <w:r w:rsidRPr="0086443F">
        <w:rPr>
          <w:rFonts w:asciiTheme="minorHAnsi" w:hAnsiTheme="minorHAnsi"/>
          <w:spacing w:val="-37"/>
        </w:rPr>
        <w:t xml:space="preserve"> </w:t>
      </w:r>
      <w:r w:rsidRPr="0086443F">
        <w:rPr>
          <w:rFonts w:asciiTheme="minorHAnsi" w:hAnsiTheme="minorHAnsi"/>
        </w:rPr>
        <w:t>hearing. As necessary, LAs will be able to request an additional witness from the health commissioning body or from social care to give evidence at any hearing (i.e. four, rather than the three witnesses usually allowed by the Tribunal), as will the parent or young person who has requested the recommendation. If a party wants to bring more than three witnesses, they will have to ask permission in writing on the request form. If a party wants to change their witnesses, they should tell the SEND Tribunal and the other party</w:t>
      </w:r>
      <w:r w:rsidRPr="0086443F">
        <w:rPr>
          <w:rFonts w:asciiTheme="minorHAnsi" w:hAnsiTheme="minorHAnsi"/>
          <w:spacing w:val="-8"/>
        </w:rPr>
        <w:t xml:space="preserve"> </w:t>
      </w:r>
      <w:r w:rsidRPr="0086443F">
        <w:rPr>
          <w:rFonts w:asciiTheme="minorHAnsi" w:hAnsiTheme="minorHAnsi"/>
        </w:rPr>
        <w:t>immediately.</w:t>
      </w:r>
    </w:p>
    <w:p w14:paraId="19CBE323" w14:textId="77777777" w:rsidR="004A12E6" w:rsidRPr="0086443F" w:rsidRDefault="004A12E6" w:rsidP="004A12E6">
      <w:pPr>
        <w:pStyle w:val="BodyText"/>
        <w:spacing w:before="77"/>
        <w:ind w:right="231"/>
        <w:rPr>
          <w:rFonts w:asciiTheme="minorHAnsi" w:hAnsiTheme="minorHAnsi"/>
        </w:rPr>
      </w:pPr>
    </w:p>
    <w:p w14:paraId="3DD57A33" w14:textId="77777777" w:rsidR="004A12E6" w:rsidRPr="0086443F" w:rsidRDefault="004A12E6" w:rsidP="004A12E6">
      <w:pPr>
        <w:pStyle w:val="Heading2"/>
        <w:spacing w:before="121"/>
        <w:ind w:right="488"/>
        <w:rPr>
          <w:rFonts w:asciiTheme="minorHAnsi" w:hAnsiTheme="minorHAnsi"/>
        </w:rPr>
      </w:pPr>
      <w:bookmarkStart w:id="30" w:name="_Toc40779893"/>
      <w:bookmarkStart w:id="31" w:name="_Toc42074127"/>
      <w:r w:rsidRPr="0086443F">
        <w:rPr>
          <w:rFonts w:asciiTheme="minorHAnsi" w:hAnsiTheme="minorHAnsi"/>
        </w:rPr>
        <w:t>Could the Tribunal direct an assessment on a child if they thought there was not enough evidence to make a decision?</w:t>
      </w:r>
      <w:bookmarkEnd w:id="30"/>
      <w:bookmarkEnd w:id="31"/>
    </w:p>
    <w:p w14:paraId="41BDD11E" w14:textId="77777777" w:rsidR="004A12E6" w:rsidRPr="0086443F" w:rsidRDefault="004A12E6" w:rsidP="004A12E6">
      <w:pPr>
        <w:pStyle w:val="BodyText"/>
        <w:spacing w:before="120"/>
        <w:ind w:right="261"/>
        <w:rPr>
          <w:rFonts w:asciiTheme="minorHAnsi" w:hAnsiTheme="minorHAnsi"/>
        </w:rPr>
      </w:pPr>
      <w:r w:rsidRPr="0086443F">
        <w:rPr>
          <w:rFonts w:asciiTheme="minorHAnsi" w:hAnsiTheme="minorHAnsi"/>
        </w:rPr>
        <w:t>Yes. Under rule 15 (4)(a) of the Tribunal’s rules the parents of the child, or any person with care of the child or parental responsibility for the child may be required to make the child available for examination or assessment. And under rule 15(4)(b) the person responsible for a school or educational setting may be required to allow a suitably qualified person to have access to the school or educational setting so that they can assess the child or the provision made, or to be made, for the</w:t>
      </w:r>
      <w:r w:rsidRPr="0086443F">
        <w:rPr>
          <w:rFonts w:asciiTheme="minorHAnsi" w:hAnsiTheme="minorHAnsi"/>
          <w:spacing w:val="-24"/>
        </w:rPr>
        <w:t xml:space="preserve"> </w:t>
      </w:r>
      <w:r w:rsidRPr="0086443F">
        <w:rPr>
          <w:rFonts w:asciiTheme="minorHAnsi" w:hAnsiTheme="minorHAnsi"/>
        </w:rPr>
        <w:t>child.</w:t>
      </w:r>
    </w:p>
    <w:p w14:paraId="2A0C3687" w14:textId="77777777" w:rsidR="004A12E6" w:rsidRPr="0086443F" w:rsidRDefault="004A12E6" w:rsidP="004A12E6">
      <w:pPr>
        <w:pStyle w:val="BodyText"/>
        <w:spacing w:before="5"/>
        <w:rPr>
          <w:rFonts w:asciiTheme="minorHAnsi" w:hAnsiTheme="minorHAnsi"/>
          <w:sz w:val="34"/>
        </w:rPr>
      </w:pPr>
    </w:p>
    <w:p w14:paraId="3194AF96" w14:textId="77777777" w:rsidR="004A12E6" w:rsidRPr="0086443F" w:rsidRDefault="004A12E6" w:rsidP="004A12E6">
      <w:pPr>
        <w:pStyle w:val="Heading2"/>
        <w:spacing w:before="0"/>
        <w:rPr>
          <w:rFonts w:asciiTheme="minorHAnsi" w:hAnsiTheme="minorHAnsi"/>
        </w:rPr>
      </w:pPr>
      <w:bookmarkStart w:id="32" w:name="_Toc40779894"/>
      <w:bookmarkStart w:id="33" w:name="_Toc42074128"/>
      <w:r w:rsidRPr="0086443F">
        <w:rPr>
          <w:rFonts w:asciiTheme="minorHAnsi" w:hAnsiTheme="minorHAnsi"/>
        </w:rPr>
        <w:t>Will cases still be dealt with within 12 weeks?</w:t>
      </w:r>
      <w:bookmarkEnd w:id="32"/>
      <w:bookmarkEnd w:id="33"/>
    </w:p>
    <w:p w14:paraId="3020DF77" w14:textId="77777777" w:rsidR="004A12E6" w:rsidRPr="0086443F" w:rsidRDefault="004A12E6" w:rsidP="004A12E6">
      <w:pPr>
        <w:pStyle w:val="BodyText"/>
        <w:spacing w:before="120"/>
        <w:ind w:right="277"/>
        <w:rPr>
          <w:rFonts w:asciiTheme="minorHAnsi" w:hAnsiTheme="minorHAnsi"/>
        </w:rPr>
      </w:pPr>
      <w:r w:rsidRPr="0086443F">
        <w:rPr>
          <w:rFonts w:asciiTheme="minorHAnsi" w:hAnsiTheme="minorHAnsi"/>
        </w:rPr>
        <w:t>Yes. The Tribunal has wide discretion to give case management directions and set a timetable for appeals. The standard timetable that the Tribunal will usually follow</w:t>
      </w:r>
      <w:r w:rsidRPr="0086443F">
        <w:rPr>
          <w:rFonts w:asciiTheme="minorHAnsi" w:hAnsiTheme="minorHAnsi"/>
          <w:spacing w:val="-34"/>
        </w:rPr>
        <w:t xml:space="preserve"> </w:t>
      </w:r>
      <w:r w:rsidRPr="0086443F">
        <w:rPr>
          <w:rFonts w:asciiTheme="minorHAnsi" w:hAnsiTheme="minorHAnsi"/>
        </w:rPr>
        <w:t>is the same as that for non-trial appeals and</w:t>
      </w:r>
      <w:r w:rsidRPr="0086443F">
        <w:rPr>
          <w:rFonts w:asciiTheme="minorHAnsi" w:hAnsiTheme="minorHAnsi"/>
          <w:spacing w:val="-8"/>
        </w:rPr>
        <w:t xml:space="preserve"> </w:t>
      </w:r>
      <w:r w:rsidRPr="0086443F">
        <w:rPr>
          <w:rFonts w:asciiTheme="minorHAnsi" w:hAnsiTheme="minorHAnsi"/>
        </w:rPr>
        <w:t>is:</w:t>
      </w:r>
    </w:p>
    <w:p w14:paraId="7829A720" w14:textId="77777777" w:rsidR="004A12E6" w:rsidRPr="0086443F" w:rsidRDefault="004A12E6" w:rsidP="004A12E6">
      <w:pPr>
        <w:pStyle w:val="BodyText"/>
        <w:spacing w:before="120"/>
        <w:ind w:right="551"/>
        <w:rPr>
          <w:rFonts w:asciiTheme="minorHAnsi" w:hAnsiTheme="minorHAnsi"/>
        </w:rPr>
      </w:pPr>
      <w:r w:rsidRPr="00836239">
        <w:rPr>
          <w:rFonts w:asciiTheme="minorHAnsi" w:hAnsiTheme="minorHAnsi"/>
          <w:b/>
          <w:bCs/>
        </w:rPr>
        <w:t>Week 1</w:t>
      </w:r>
      <w:r w:rsidRPr="0086443F">
        <w:rPr>
          <w:rFonts w:asciiTheme="minorHAnsi" w:hAnsiTheme="minorHAnsi"/>
        </w:rPr>
        <w:t xml:space="preserve"> – the appeal is registered, and the notice of appeal is sent. There will be a case management review of the appeal to:</w:t>
      </w:r>
    </w:p>
    <w:p w14:paraId="70FD8117" w14:textId="77777777" w:rsidR="004A12E6" w:rsidRPr="00836239" w:rsidRDefault="004A12E6" w:rsidP="004A12E6">
      <w:pPr>
        <w:pStyle w:val="ListParagraph"/>
        <w:numPr>
          <w:ilvl w:val="0"/>
          <w:numId w:val="4"/>
        </w:numPr>
        <w:tabs>
          <w:tab w:val="left" w:pos="804"/>
        </w:tabs>
        <w:spacing w:before="15" w:line="223" w:lineRule="auto"/>
        <w:ind w:right="366"/>
        <w:rPr>
          <w:sz w:val="24"/>
        </w:rPr>
      </w:pPr>
      <w:r w:rsidRPr="00836239">
        <w:rPr>
          <w:sz w:val="24"/>
        </w:rPr>
        <w:t>identify the issues, including the educational issues and any health and social care issues</w:t>
      </w:r>
    </w:p>
    <w:p w14:paraId="484E42F8" w14:textId="77777777" w:rsidR="004A12E6" w:rsidRPr="00836239" w:rsidRDefault="004A12E6" w:rsidP="004A12E6">
      <w:pPr>
        <w:pStyle w:val="ListParagraph"/>
        <w:numPr>
          <w:ilvl w:val="0"/>
          <w:numId w:val="4"/>
        </w:numPr>
        <w:tabs>
          <w:tab w:val="left" w:pos="804"/>
        </w:tabs>
        <w:spacing w:before="123"/>
        <w:rPr>
          <w:sz w:val="24"/>
        </w:rPr>
      </w:pPr>
      <w:r w:rsidRPr="00836239">
        <w:rPr>
          <w:sz w:val="24"/>
        </w:rPr>
        <w:t>identify the evidence</w:t>
      </w:r>
      <w:r w:rsidRPr="00836239">
        <w:rPr>
          <w:spacing w:val="-6"/>
          <w:sz w:val="24"/>
        </w:rPr>
        <w:t xml:space="preserve"> </w:t>
      </w:r>
      <w:r w:rsidRPr="00836239">
        <w:rPr>
          <w:sz w:val="24"/>
        </w:rPr>
        <w:t>required</w:t>
      </w:r>
    </w:p>
    <w:p w14:paraId="7D6C086B" w14:textId="77777777" w:rsidR="004A12E6" w:rsidRPr="00836239" w:rsidRDefault="004A12E6" w:rsidP="004A12E6">
      <w:pPr>
        <w:pStyle w:val="ListParagraph"/>
        <w:numPr>
          <w:ilvl w:val="0"/>
          <w:numId w:val="4"/>
        </w:numPr>
        <w:tabs>
          <w:tab w:val="left" w:pos="804"/>
        </w:tabs>
        <w:spacing w:before="99"/>
        <w:rPr>
          <w:sz w:val="24"/>
        </w:rPr>
      </w:pPr>
      <w:r w:rsidRPr="00836239">
        <w:rPr>
          <w:sz w:val="24"/>
        </w:rPr>
        <w:t>clarify the recommendations being</w:t>
      </w:r>
      <w:r w:rsidRPr="00836239">
        <w:rPr>
          <w:spacing w:val="-8"/>
          <w:sz w:val="24"/>
        </w:rPr>
        <w:t xml:space="preserve"> </w:t>
      </w:r>
      <w:r w:rsidRPr="00836239">
        <w:rPr>
          <w:sz w:val="24"/>
        </w:rPr>
        <w:t>sought</w:t>
      </w:r>
    </w:p>
    <w:p w14:paraId="348BF964" w14:textId="77777777" w:rsidR="004A12E6" w:rsidRPr="0086443F" w:rsidRDefault="004A12E6" w:rsidP="004A12E6">
      <w:pPr>
        <w:pStyle w:val="BodyText"/>
        <w:spacing w:before="99"/>
        <w:ind w:right="618"/>
        <w:rPr>
          <w:rFonts w:asciiTheme="minorHAnsi" w:hAnsiTheme="minorHAnsi"/>
        </w:rPr>
      </w:pPr>
      <w:r w:rsidRPr="00836239">
        <w:rPr>
          <w:rFonts w:asciiTheme="minorHAnsi" w:hAnsiTheme="minorHAnsi"/>
          <w:b/>
          <w:bCs/>
        </w:rPr>
        <w:lastRenderedPageBreak/>
        <w:t>Week 6</w:t>
      </w:r>
      <w:r w:rsidRPr="0086443F">
        <w:rPr>
          <w:rFonts w:asciiTheme="minorHAnsi" w:hAnsiTheme="minorHAnsi"/>
        </w:rPr>
        <w:t xml:space="preserve"> – the LA must send in their response, including the response from health and social care commissioners</w:t>
      </w:r>
    </w:p>
    <w:p w14:paraId="78EB495E" w14:textId="77777777" w:rsidR="004A12E6" w:rsidRPr="0086443F" w:rsidRDefault="004A12E6" w:rsidP="004A12E6">
      <w:pPr>
        <w:pStyle w:val="BodyText"/>
        <w:rPr>
          <w:rFonts w:asciiTheme="minorHAnsi" w:hAnsiTheme="minorHAnsi"/>
        </w:rPr>
      </w:pPr>
      <w:r w:rsidRPr="00836239">
        <w:rPr>
          <w:rFonts w:asciiTheme="minorHAnsi" w:hAnsiTheme="minorHAnsi"/>
          <w:b/>
          <w:bCs/>
        </w:rPr>
        <w:t>Week 7</w:t>
      </w:r>
      <w:r w:rsidRPr="0086443F">
        <w:rPr>
          <w:rFonts w:asciiTheme="minorHAnsi" w:hAnsiTheme="minorHAnsi"/>
        </w:rPr>
        <w:t xml:space="preserve"> – final evidence deadline</w:t>
      </w:r>
    </w:p>
    <w:p w14:paraId="756A8565" w14:textId="77777777" w:rsidR="004A12E6" w:rsidRPr="0086443F" w:rsidRDefault="004A12E6" w:rsidP="004A12E6">
      <w:pPr>
        <w:pStyle w:val="BodyText"/>
        <w:rPr>
          <w:rFonts w:asciiTheme="minorHAnsi" w:hAnsiTheme="minorHAnsi"/>
        </w:rPr>
      </w:pPr>
      <w:r w:rsidRPr="00836239">
        <w:rPr>
          <w:rFonts w:asciiTheme="minorHAnsi" w:hAnsiTheme="minorHAnsi"/>
          <w:b/>
          <w:bCs/>
        </w:rPr>
        <w:t>Week 8</w:t>
      </w:r>
      <w:r w:rsidRPr="0086443F">
        <w:rPr>
          <w:rFonts w:asciiTheme="minorHAnsi" w:hAnsiTheme="minorHAnsi"/>
        </w:rPr>
        <w:t xml:space="preserve"> – telephone case management of appeal (if required)</w:t>
      </w:r>
    </w:p>
    <w:p w14:paraId="128C636A" w14:textId="77777777" w:rsidR="004A12E6" w:rsidRPr="0086443F" w:rsidRDefault="004A12E6" w:rsidP="004A12E6">
      <w:pPr>
        <w:pStyle w:val="BodyText"/>
        <w:ind w:right="337"/>
        <w:rPr>
          <w:rFonts w:asciiTheme="minorHAnsi" w:hAnsiTheme="minorHAnsi"/>
        </w:rPr>
      </w:pPr>
      <w:r w:rsidRPr="00836239">
        <w:rPr>
          <w:rFonts w:asciiTheme="minorHAnsi" w:hAnsiTheme="minorHAnsi"/>
          <w:b/>
          <w:bCs/>
        </w:rPr>
        <w:t>Week 10</w:t>
      </w:r>
      <w:r w:rsidRPr="0086443F">
        <w:rPr>
          <w:rFonts w:asciiTheme="minorHAnsi" w:hAnsiTheme="minorHAnsi"/>
        </w:rPr>
        <w:t xml:space="preserve"> – evidence bundle produced by the LA and sent out to the Tribunal and all parties</w:t>
      </w:r>
    </w:p>
    <w:p w14:paraId="2ECE8664" w14:textId="77777777" w:rsidR="004A12E6" w:rsidRDefault="004A12E6" w:rsidP="004A12E6">
      <w:pPr>
        <w:pStyle w:val="BodyText"/>
        <w:ind w:right="1432"/>
        <w:rPr>
          <w:rFonts w:asciiTheme="minorHAnsi" w:hAnsiTheme="minorHAnsi"/>
        </w:rPr>
      </w:pPr>
      <w:r w:rsidRPr="00836239">
        <w:rPr>
          <w:rFonts w:asciiTheme="minorHAnsi" w:hAnsiTheme="minorHAnsi"/>
          <w:b/>
          <w:bCs/>
        </w:rPr>
        <w:t>Week 12</w:t>
      </w:r>
      <w:r w:rsidRPr="0086443F">
        <w:rPr>
          <w:rFonts w:asciiTheme="minorHAnsi" w:hAnsiTheme="minorHAnsi"/>
        </w:rPr>
        <w:t xml:space="preserve"> – the hearing takes place (if not resolved by case management) </w:t>
      </w:r>
    </w:p>
    <w:p w14:paraId="44067C99" w14:textId="77777777" w:rsidR="004A12E6" w:rsidRPr="0086443F" w:rsidRDefault="004A12E6" w:rsidP="004A12E6">
      <w:pPr>
        <w:pStyle w:val="BodyText"/>
        <w:ind w:right="1432"/>
        <w:rPr>
          <w:rFonts w:asciiTheme="minorHAnsi" w:hAnsiTheme="minorHAnsi"/>
        </w:rPr>
      </w:pPr>
      <w:r w:rsidRPr="00836239">
        <w:rPr>
          <w:rFonts w:asciiTheme="minorHAnsi" w:hAnsiTheme="minorHAnsi"/>
          <w:b/>
          <w:bCs/>
        </w:rPr>
        <w:t>Week 14</w:t>
      </w:r>
      <w:r w:rsidRPr="0086443F">
        <w:rPr>
          <w:rFonts w:asciiTheme="minorHAnsi" w:hAnsiTheme="minorHAnsi"/>
        </w:rPr>
        <w:t xml:space="preserve"> – the decision and recommendation (if applicable) is issued</w:t>
      </w:r>
    </w:p>
    <w:p w14:paraId="47E6E45B" w14:textId="77777777" w:rsidR="004A12E6" w:rsidRPr="0086443F" w:rsidRDefault="004A12E6" w:rsidP="004A12E6">
      <w:pPr>
        <w:pStyle w:val="BodyText"/>
        <w:spacing w:before="4"/>
        <w:rPr>
          <w:rFonts w:asciiTheme="minorHAnsi" w:hAnsiTheme="minorHAnsi"/>
          <w:sz w:val="34"/>
        </w:rPr>
      </w:pPr>
    </w:p>
    <w:p w14:paraId="7FD34AAD" w14:textId="6F80504A" w:rsidR="004A12E6" w:rsidRPr="00836239" w:rsidRDefault="004A12E6" w:rsidP="004A12E6">
      <w:pPr>
        <w:pStyle w:val="Heading1"/>
        <w:spacing w:before="1"/>
        <w:rPr>
          <w:rFonts w:asciiTheme="minorHAnsi" w:hAnsiTheme="minorHAnsi"/>
        </w:rPr>
      </w:pPr>
      <w:r w:rsidRPr="0086443F">
        <w:rPr>
          <w:rFonts w:asciiTheme="minorHAnsi" w:hAnsiTheme="minorHAnsi"/>
          <w:spacing w:val="-80"/>
          <w:w w:val="99"/>
        </w:rPr>
        <w:t xml:space="preserve"> </w:t>
      </w:r>
      <w:bookmarkStart w:id="34" w:name="_Toc42074129"/>
      <w:r w:rsidR="00A708EC">
        <w:rPr>
          <w:rFonts w:asciiTheme="minorHAnsi" w:hAnsiTheme="minorHAnsi"/>
          <w:spacing w:val="-12"/>
        </w:rPr>
        <w:t xml:space="preserve">SEND Tribunal: extended </w:t>
      </w:r>
      <w:r w:rsidRPr="00836239">
        <w:rPr>
          <w:rFonts w:asciiTheme="minorHAnsi" w:hAnsiTheme="minorHAnsi"/>
          <w:spacing w:val="-9"/>
        </w:rPr>
        <w:t>appeals</w:t>
      </w:r>
      <w:bookmarkEnd w:id="34"/>
    </w:p>
    <w:p w14:paraId="67E4C3F5" w14:textId="77777777" w:rsidR="004A12E6" w:rsidRPr="0086443F" w:rsidRDefault="004A12E6" w:rsidP="004A12E6">
      <w:pPr>
        <w:pStyle w:val="BodyText"/>
        <w:spacing w:before="9"/>
        <w:rPr>
          <w:rFonts w:asciiTheme="minorHAnsi" w:hAnsiTheme="minorHAnsi"/>
          <w:b/>
        </w:rPr>
      </w:pPr>
    </w:p>
    <w:p w14:paraId="4E3E8A9C" w14:textId="3A668305" w:rsidR="004A12E6" w:rsidRPr="0086443F" w:rsidRDefault="00450A16" w:rsidP="004A12E6">
      <w:pPr>
        <w:pStyle w:val="Heading2"/>
        <w:ind w:right="767"/>
        <w:jc w:val="both"/>
        <w:rPr>
          <w:rFonts w:asciiTheme="minorHAnsi" w:hAnsiTheme="minorHAnsi"/>
        </w:rPr>
      </w:pPr>
      <w:r>
        <w:rPr>
          <w:rFonts w:asciiTheme="minorHAnsi" w:hAnsiTheme="minorHAnsi"/>
        </w:rPr>
        <w:t xml:space="preserve">Can </w:t>
      </w:r>
      <w:r w:rsidR="00D06CD1">
        <w:rPr>
          <w:rFonts w:asciiTheme="minorHAnsi" w:hAnsiTheme="minorHAnsi"/>
        </w:rPr>
        <w:t>a health and/or social care</w:t>
      </w:r>
      <w:r w:rsidR="00420B95">
        <w:rPr>
          <w:rFonts w:asciiTheme="minorHAnsi" w:hAnsiTheme="minorHAnsi"/>
        </w:rPr>
        <w:t xml:space="preserve"> </w:t>
      </w:r>
      <w:r w:rsidR="00407D75">
        <w:rPr>
          <w:rFonts w:asciiTheme="minorHAnsi" w:hAnsiTheme="minorHAnsi"/>
        </w:rPr>
        <w:t>aspects be appea</w:t>
      </w:r>
      <w:r w:rsidR="00865741">
        <w:rPr>
          <w:rFonts w:asciiTheme="minorHAnsi" w:hAnsiTheme="minorHAnsi"/>
        </w:rPr>
        <w:t>led without an educational aspect?</w:t>
      </w:r>
    </w:p>
    <w:p w14:paraId="50585F22" w14:textId="77777777" w:rsidR="004A12E6" w:rsidRPr="00B51785" w:rsidRDefault="004A12E6" w:rsidP="004A12E6">
      <w:pPr>
        <w:pStyle w:val="BodyText"/>
        <w:spacing w:before="120" w:line="259" w:lineRule="auto"/>
        <w:ind w:right="196"/>
        <w:jc w:val="both"/>
        <w:rPr>
          <w:rFonts w:asciiTheme="minorHAnsi" w:hAnsiTheme="minorHAnsi"/>
        </w:rPr>
      </w:pPr>
      <w:r w:rsidRPr="0086443F">
        <w:rPr>
          <w:rFonts w:asciiTheme="minorHAnsi" w:hAnsiTheme="minorHAnsi"/>
        </w:rPr>
        <w:t>Appeals can only be made if they have an educational aspect to them. So, to request a health and/or social care recommendation to be made, an appeal about a special educational aspect of an EHC plan (including refusing to issue a plan and any placement) must be made at the same time.</w:t>
      </w:r>
    </w:p>
    <w:p w14:paraId="69467ABC" w14:textId="77777777" w:rsidR="004A12E6" w:rsidRDefault="004A12E6" w:rsidP="004A12E6">
      <w:pPr>
        <w:tabs>
          <w:tab w:val="left" w:pos="520"/>
          <w:tab w:val="left" w:pos="521"/>
        </w:tabs>
        <w:spacing w:before="110"/>
        <w:rPr>
          <w:sz w:val="24"/>
        </w:rPr>
      </w:pPr>
    </w:p>
    <w:p w14:paraId="4FDF60E7" w14:textId="77777777" w:rsidR="004A12E6" w:rsidRPr="0086443F" w:rsidRDefault="004A12E6" w:rsidP="004A12E6">
      <w:pPr>
        <w:pStyle w:val="Heading2"/>
        <w:spacing w:before="77"/>
        <w:ind w:right="622"/>
        <w:rPr>
          <w:rFonts w:asciiTheme="minorHAnsi" w:hAnsiTheme="minorHAnsi"/>
        </w:rPr>
      </w:pPr>
      <w:bookmarkStart w:id="35" w:name="_Toc40779897"/>
      <w:bookmarkStart w:id="36" w:name="_Toc42074131"/>
      <w:r w:rsidRPr="0086443F">
        <w:rPr>
          <w:rFonts w:asciiTheme="minorHAnsi" w:hAnsiTheme="minorHAnsi"/>
        </w:rPr>
        <w:t>If the education part of the plan is resolved, but not the health and/or social care aspects, where would the unresolved sit?</w:t>
      </w:r>
      <w:bookmarkEnd w:id="35"/>
      <w:bookmarkEnd w:id="36"/>
    </w:p>
    <w:p w14:paraId="47955941" w14:textId="77777777" w:rsidR="004A12E6" w:rsidRPr="00221972" w:rsidRDefault="004A12E6" w:rsidP="004A12E6">
      <w:pPr>
        <w:pStyle w:val="BodyText"/>
        <w:spacing w:before="120"/>
        <w:ind w:right="137"/>
        <w:rPr>
          <w:rFonts w:asciiTheme="minorHAnsi" w:hAnsiTheme="minorHAnsi"/>
        </w:rPr>
      </w:pPr>
      <w:r w:rsidRPr="0086443F">
        <w:rPr>
          <w:rFonts w:asciiTheme="minorHAnsi" w:hAnsiTheme="minorHAnsi"/>
        </w:rPr>
        <w:t>Where there is no educational element for an appeal, or the educational aspects of the appeal has been resolved before going to Tribunal (e.g. through mediation or disagreement resolution services), any concerns about the health and/or social care elements of EHC plans will need to be taken up via separate routes with the local health commissioner for health issues and the local authority for social care issues. If families remain unhappy, they can take their complaint to the relevant ombudsman, once they have been through the complaint’s procedure with the LA or local health commissioner.</w:t>
      </w:r>
    </w:p>
    <w:p w14:paraId="478DFC90" w14:textId="77777777" w:rsidR="004A12E6" w:rsidRPr="0086443F" w:rsidRDefault="004A12E6" w:rsidP="004A12E6">
      <w:pPr>
        <w:pStyle w:val="BodyText"/>
        <w:rPr>
          <w:rFonts w:asciiTheme="minorHAnsi" w:hAnsiTheme="minorHAnsi"/>
          <w:sz w:val="26"/>
        </w:rPr>
      </w:pPr>
    </w:p>
    <w:p w14:paraId="2D1EF402" w14:textId="77777777" w:rsidR="004A12E6" w:rsidRPr="00836239" w:rsidRDefault="004A12E6" w:rsidP="004A12E6">
      <w:pPr>
        <w:pStyle w:val="Heading1"/>
        <w:spacing w:before="188"/>
        <w:rPr>
          <w:rFonts w:asciiTheme="minorHAnsi" w:hAnsiTheme="minorHAnsi"/>
        </w:rPr>
      </w:pPr>
      <w:r w:rsidRPr="00836239">
        <w:rPr>
          <w:rFonts w:asciiTheme="minorHAnsi" w:hAnsiTheme="minorHAnsi"/>
          <w:spacing w:val="-80"/>
          <w:w w:val="99"/>
        </w:rPr>
        <w:t xml:space="preserve"> </w:t>
      </w:r>
      <w:bookmarkStart w:id="37" w:name="_Toc42074132"/>
      <w:r>
        <w:rPr>
          <w:rFonts w:asciiTheme="minorHAnsi" w:hAnsiTheme="minorHAnsi"/>
          <w:spacing w:val="-9"/>
        </w:rPr>
        <w:t>Responding to recommendations</w:t>
      </w:r>
      <w:bookmarkEnd w:id="37"/>
    </w:p>
    <w:p w14:paraId="1783C673" w14:textId="77777777" w:rsidR="004A12E6" w:rsidRPr="0086443F" w:rsidRDefault="004A12E6" w:rsidP="004A12E6">
      <w:pPr>
        <w:pStyle w:val="BodyText"/>
        <w:rPr>
          <w:rFonts w:asciiTheme="minorHAnsi" w:hAnsiTheme="minorHAnsi"/>
          <w:b/>
          <w:sz w:val="20"/>
        </w:rPr>
      </w:pPr>
    </w:p>
    <w:p w14:paraId="3560D576" w14:textId="38FB8DB4" w:rsidR="004A12E6" w:rsidRPr="0086443F" w:rsidRDefault="004A12E6" w:rsidP="004A12E6">
      <w:pPr>
        <w:pStyle w:val="Heading2"/>
        <w:spacing w:before="222" w:after="240"/>
        <w:ind w:right="260"/>
        <w:rPr>
          <w:rFonts w:asciiTheme="minorHAnsi" w:hAnsiTheme="minorHAnsi"/>
        </w:rPr>
      </w:pPr>
      <w:bookmarkStart w:id="38" w:name="_Toc40779899"/>
      <w:bookmarkStart w:id="39" w:name="_Toc42074133"/>
      <w:r w:rsidRPr="0086443F">
        <w:rPr>
          <w:rFonts w:asciiTheme="minorHAnsi" w:hAnsiTheme="minorHAnsi"/>
        </w:rPr>
        <w:t xml:space="preserve">What will health and social care partners need to write to parent </w:t>
      </w:r>
      <w:proofErr w:type="spellStart"/>
      <w:r w:rsidRPr="0086443F">
        <w:rPr>
          <w:rFonts w:asciiTheme="minorHAnsi" w:hAnsiTheme="minorHAnsi"/>
        </w:rPr>
        <w:t>carers</w:t>
      </w:r>
      <w:proofErr w:type="spellEnd"/>
      <w:r w:rsidRPr="0086443F">
        <w:rPr>
          <w:rFonts w:asciiTheme="minorHAnsi" w:hAnsiTheme="minorHAnsi"/>
        </w:rPr>
        <w:t xml:space="preserve"> and say, following a tribunal?</w:t>
      </w:r>
      <w:bookmarkEnd w:id="38"/>
      <w:bookmarkEnd w:id="39"/>
    </w:p>
    <w:p w14:paraId="642757E9" w14:textId="7CC2B1A4" w:rsidR="004A12E6" w:rsidRDefault="004A12E6" w:rsidP="001950B0">
      <w:pPr>
        <w:pStyle w:val="BodyText"/>
        <w:spacing w:after="240"/>
        <w:rPr>
          <w:rFonts w:asciiTheme="minorHAnsi" w:hAnsiTheme="minorHAnsi"/>
          <w:color w:val="0462C1"/>
          <w:u w:val="single" w:color="0462C1"/>
        </w:rPr>
      </w:pPr>
      <w:r w:rsidRPr="0086443F">
        <w:rPr>
          <w:rFonts w:asciiTheme="minorHAnsi" w:hAnsiTheme="minorHAnsi"/>
        </w:rPr>
        <w:t xml:space="preserve">When the Tribunal makes recommendations about health or social care needs or provision, the responsible health commissioning body or LA social care team must respond in writing </w:t>
      </w:r>
      <w:r w:rsidRPr="0086443F">
        <w:rPr>
          <w:rFonts w:asciiTheme="minorHAnsi" w:hAnsiTheme="minorHAnsi"/>
        </w:rPr>
        <w:lastRenderedPageBreak/>
        <w:t>to the parent or young person, and for health commissioners to the LA, within five weeks of the date of the recommendation (or the date specified by the Tribunal, if different), and inform them of the steps they have decided to take following the recommendations. If they have decided not to follow the recommendations, they must provide a clear reason for that decision, explained in sufficient detail. A sample letter can be accessed from the</w:t>
      </w:r>
      <w:r w:rsidRPr="0086443F">
        <w:rPr>
          <w:rFonts w:asciiTheme="minorHAnsi" w:hAnsiTheme="minorHAnsi"/>
          <w:spacing w:val="-6"/>
        </w:rPr>
        <w:t xml:space="preserve"> </w:t>
      </w:r>
      <w:hyperlink r:id="rId23">
        <w:r w:rsidR="00CE2687">
          <w:rPr>
            <w:rFonts w:asciiTheme="minorHAnsi" w:hAnsiTheme="minorHAnsi"/>
            <w:color w:val="0462C1"/>
            <w:u w:val="single" w:color="0462C1"/>
          </w:rPr>
          <w:t>t</w:t>
        </w:r>
        <w:r w:rsidRPr="0086443F">
          <w:rPr>
            <w:rFonts w:asciiTheme="minorHAnsi" w:hAnsiTheme="minorHAnsi"/>
            <w:color w:val="0462C1"/>
            <w:u w:val="single" w:color="0462C1"/>
          </w:rPr>
          <w:t>oolkit.</w:t>
        </w:r>
      </w:hyperlink>
    </w:p>
    <w:p w14:paraId="5425E653" w14:textId="19B47868" w:rsidR="001950B0" w:rsidRDefault="001950B0" w:rsidP="001950B0">
      <w:pPr>
        <w:pStyle w:val="BodyText"/>
        <w:spacing w:after="240"/>
        <w:rPr>
          <w:rFonts w:asciiTheme="minorHAnsi" w:hAnsiTheme="minorHAnsi"/>
          <w:color w:val="0462C1"/>
          <w:u w:val="single" w:color="0462C1"/>
        </w:rPr>
      </w:pPr>
    </w:p>
    <w:p w14:paraId="54646387" w14:textId="472D8432" w:rsidR="004A12E6" w:rsidRPr="00F72137" w:rsidRDefault="004A12E6" w:rsidP="00DF21DA">
      <w:pPr>
        <w:pStyle w:val="Heading1"/>
      </w:pPr>
      <w:bookmarkStart w:id="40" w:name="_Toc42074135"/>
      <w:r w:rsidRPr="00F72137">
        <w:t>Evaluation</w:t>
      </w:r>
      <w:bookmarkEnd w:id="40"/>
    </w:p>
    <w:p w14:paraId="65E67B1B" w14:textId="77777777" w:rsidR="00DF21DA" w:rsidRPr="00DF21DA" w:rsidRDefault="00DF21DA" w:rsidP="00DF21DA">
      <w:bookmarkStart w:id="41" w:name="_Toc40779904"/>
      <w:bookmarkStart w:id="42" w:name="_Toc42074136"/>
    </w:p>
    <w:p w14:paraId="1C08E3F9" w14:textId="38BA80A8" w:rsidR="004A12E6" w:rsidRPr="0086443F" w:rsidRDefault="00772367" w:rsidP="004A12E6">
      <w:pPr>
        <w:pStyle w:val="Heading2"/>
        <w:spacing w:before="74" w:after="240"/>
        <w:rPr>
          <w:rFonts w:asciiTheme="minorHAnsi" w:hAnsiTheme="minorHAnsi"/>
        </w:rPr>
      </w:pPr>
      <w:r>
        <w:rPr>
          <w:rFonts w:asciiTheme="minorHAnsi" w:hAnsiTheme="minorHAnsi"/>
        </w:rPr>
        <w:t>How was the independent evaluation of the national trial undertaken?</w:t>
      </w:r>
      <w:bookmarkEnd w:id="41"/>
      <w:bookmarkEnd w:id="42"/>
    </w:p>
    <w:p w14:paraId="1C1E94DC" w14:textId="718589D1" w:rsidR="004A12E6" w:rsidRPr="0086443F" w:rsidRDefault="001950B0" w:rsidP="004A12E6">
      <w:pPr>
        <w:pStyle w:val="BodyText"/>
        <w:spacing w:before="41" w:after="240" w:line="240" w:lineRule="auto"/>
        <w:ind w:right="245"/>
        <w:rPr>
          <w:rFonts w:asciiTheme="minorHAnsi" w:hAnsiTheme="minorHAnsi"/>
        </w:rPr>
      </w:pPr>
      <w:r w:rsidRPr="0086443F">
        <w:rPr>
          <w:rFonts w:asciiTheme="minorHAnsi" w:hAnsiTheme="minorHAnsi"/>
        </w:rPr>
        <w:t>DfE contracted IFF</w:t>
      </w:r>
      <w:r w:rsidR="004A12E6" w:rsidRPr="0086443F">
        <w:rPr>
          <w:rFonts w:asciiTheme="minorHAnsi" w:hAnsiTheme="minorHAnsi"/>
        </w:rPr>
        <w:t xml:space="preserve"> Research and Belmana to carry out an evaluation of the national trial that provide</w:t>
      </w:r>
      <w:r w:rsidR="004765D5">
        <w:rPr>
          <w:rFonts w:asciiTheme="minorHAnsi" w:hAnsiTheme="minorHAnsi"/>
        </w:rPr>
        <w:t>d</w:t>
      </w:r>
      <w:r w:rsidR="004A12E6" w:rsidRPr="0086443F">
        <w:rPr>
          <w:rFonts w:asciiTheme="minorHAnsi" w:hAnsiTheme="minorHAnsi"/>
        </w:rPr>
        <w:t xml:space="preserve"> evidence to help inform a government decision on the continuation of the powers.</w:t>
      </w:r>
    </w:p>
    <w:p w14:paraId="0169C215" w14:textId="61762904" w:rsidR="0071617F" w:rsidRDefault="004A12E6" w:rsidP="004A12E6">
      <w:pPr>
        <w:pStyle w:val="BodyText"/>
        <w:spacing w:after="240" w:line="240" w:lineRule="auto"/>
        <w:ind w:right="454"/>
        <w:rPr>
          <w:rFonts w:asciiTheme="minorHAnsi" w:hAnsiTheme="minorHAnsi"/>
        </w:rPr>
      </w:pPr>
      <w:r w:rsidRPr="0086443F">
        <w:rPr>
          <w:rFonts w:asciiTheme="minorHAnsi" w:hAnsiTheme="minorHAnsi"/>
        </w:rPr>
        <w:t xml:space="preserve">The evaluation process </w:t>
      </w:r>
      <w:r w:rsidR="00A17113">
        <w:rPr>
          <w:rFonts w:asciiTheme="minorHAnsi" w:hAnsiTheme="minorHAnsi"/>
        </w:rPr>
        <w:t>ran</w:t>
      </w:r>
      <w:r w:rsidRPr="0086443F">
        <w:rPr>
          <w:rFonts w:asciiTheme="minorHAnsi" w:hAnsiTheme="minorHAnsi"/>
        </w:rPr>
        <w:t xml:space="preserve"> alongside the trial, looking at implementation of the process and what the outcomes are for families and commissioners as well as the costs</w:t>
      </w:r>
      <w:r w:rsidRPr="0086443F">
        <w:rPr>
          <w:rFonts w:asciiTheme="minorHAnsi" w:hAnsiTheme="minorHAnsi"/>
          <w:b/>
        </w:rPr>
        <w:t xml:space="preserve">. </w:t>
      </w:r>
      <w:r w:rsidRPr="0086443F">
        <w:rPr>
          <w:rFonts w:asciiTheme="minorHAnsi" w:hAnsiTheme="minorHAnsi"/>
        </w:rPr>
        <w:t xml:space="preserve">Parents and young people </w:t>
      </w:r>
      <w:r w:rsidR="00A17113">
        <w:rPr>
          <w:rFonts w:asciiTheme="minorHAnsi" w:hAnsiTheme="minorHAnsi"/>
        </w:rPr>
        <w:t>were</w:t>
      </w:r>
      <w:r w:rsidRPr="0086443F">
        <w:rPr>
          <w:rFonts w:asciiTheme="minorHAnsi" w:hAnsiTheme="minorHAnsi"/>
        </w:rPr>
        <w:t xml:space="preserve"> interviewed for their views, and local area in-depth case studies and national </w:t>
      </w:r>
      <w:r w:rsidR="001950B0" w:rsidRPr="0086443F">
        <w:rPr>
          <w:rFonts w:asciiTheme="minorHAnsi" w:hAnsiTheme="minorHAnsi"/>
        </w:rPr>
        <w:t>surveys also</w:t>
      </w:r>
      <w:r w:rsidRPr="0086443F">
        <w:rPr>
          <w:rFonts w:asciiTheme="minorHAnsi" w:hAnsiTheme="minorHAnsi"/>
        </w:rPr>
        <w:t xml:space="preserve"> </w:t>
      </w:r>
      <w:r w:rsidR="00A17113">
        <w:rPr>
          <w:rFonts w:asciiTheme="minorHAnsi" w:hAnsiTheme="minorHAnsi"/>
        </w:rPr>
        <w:t>took</w:t>
      </w:r>
      <w:r w:rsidR="00A17113" w:rsidRPr="0086443F">
        <w:rPr>
          <w:rFonts w:asciiTheme="minorHAnsi" w:hAnsiTheme="minorHAnsi"/>
        </w:rPr>
        <w:t xml:space="preserve"> place</w:t>
      </w:r>
      <w:r w:rsidRPr="0086443F">
        <w:rPr>
          <w:rFonts w:asciiTheme="minorHAnsi" w:hAnsiTheme="minorHAnsi"/>
        </w:rPr>
        <w:t>, as well as an assessment of the responses to recommendation letters.</w:t>
      </w:r>
      <w:r w:rsidR="0071617F">
        <w:rPr>
          <w:rFonts w:asciiTheme="minorHAnsi" w:hAnsiTheme="minorHAnsi"/>
        </w:rPr>
        <w:t xml:space="preserve"> </w:t>
      </w:r>
      <w:r w:rsidR="00DB7F9A">
        <w:rPr>
          <w:rFonts w:asciiTheme="minorHAnsi" w:hAnsiTheme="minorHAnsi"/>
        </w:rPr>
        <w:t>S</w:t>
      </w:r>
      <w:r w:rsidR="0071617F">
        <w:rPr>
          <w:rFonts w:asciiTheme="minorHAnsi" w:hAnsiTheme="minorHAnsi"/>
        </w:rPr>
        <w:t xml:space="preserve">takeholder and steering group views and opinions </w:t>
      </w:r>
      <w:r w:rsidR="00D050E0">
        <w:rPr>
          <w:rFonts w:asciiTheme="minorHAnsi" w:hAnsiTheme="minorHAnsi"/>
        </w:rPr>
        <w:t xml:space="preserve">were </w:t>
      </w:r>
      <w:r w:rsidR="00DB7F9A">
        <w:rPr>
          <w:rFonts w:asciiTheme="minorHAnsi" w:hAnsiTheme="minorHAnsi"/>
        </w:rPr>
        <w:t xml:space="preserve">also taken </w:t>
      </w:r>
      <w:r w:rsidR="0071617F">
        <w:rPr>
          <w:rFonts w:asciiTheme="minorHAnsi" w:hAnsiTheme="minorHAnsi"/>
        </w:rPr>
        <w:t>into account when deciding upon the success and future of the extended powers.</w:t>
      </w:r>
    </w:p>
    <w:p w14:paraId="0B6FEA7F" w14:textId="03098126" w:rsidR="004A12E6" w:rsidRPr="00D045C6" w:rsidRDefault="00DB4BF6" w:rsidP="00D045C6">
      <w:pPr>
        <w:pStyle w:val="BodyText"/>
        <w:spacing w:after="240" w:line="240" w:lineRule="auto"/>
        <w:ind w:right="454"/>
        <w:rPr>
          <w:rFonts w:asciiTheme="minorHAnsi" w:hAnsiTheme="minorHAnsi" w:cstheme="minorHAnsi"/>
        </w:rPr>
      </w:pPr>
      <w:r w:rsidRPr="00B125C0">
        <w:rPr>
          <w:rFonts w:asciiTheme="minorHAnsi" w:hAnsiTheme="minorHAnsi" w:cstheme="minorHAnsi"/>
        </w:rPr>
        <w:t xml:space="preserve">The evaluation has been published in full and can be found on the </w:t>
      </w:r>
      <w:hyperlink r:id="rId24" w:history="1">
        <w:r w:rsidRPr="00B125C0">
          <w:rPr>
            <w:rStyle w:val="Hyperlink"/>
            <w:rFonts w:asciiTheme="minorHAnsi" w:hAnsiTheme="minorHAnsi" w:cstheme="minorHAnsi"/>
          </w:rPr>
          <w:t>G</w:t>
        </w:r>
        <w:r w:rsidR="001950B0">
          <w:rPr>
            <w:rStyle w:val="Hyperlink"/>
            <w:rFonts w:asciiTheme="minorHAnsi" w:hAnsiTheme="minorHAnsi" w:cstheme="minorHAnsi"/>
          </w:rPr>
          <w:t>ov.uk</w:t>
        </w:r>
        <w:r w:rsidRPr="00B125C0">
          <w:rPr>
            <w:rStyle w:val="Hyperlink"/>
            <w:rFonts w:asciiTheme="minorHAnsi" w:hAnsiTheme="minorHAnsi" w:cstheme="minorHAnsi"/>
          </w:rPr>
          <w:t xml:space="preserve"> website</w:t>
        </w:r>
      </w:hyperlink>
      <w:r w:rsidRPr="00B125C0">
        <w:rPr>
          <w:rFonts w:asciiTheme="minorHAnsi" w:hAnsiTheme="minorHAnsi" w:cstheme="minorHAnsi"/>
        </w:rPr>
        <w:t>.</w:t>
      </w:r>
    </w:p>
    <w:p w14:paraId="6C460632" w14:textId="77777777" w:rsidR="004A12E6" w:rsidRDefault="004A12E6" w:rsidP="00714764">
      <w:pPr>
        <w:pStyle w:val="Heading1"/>
      </w:pPr>
      <w:bookmarkStart w:id="43" w:name="_Toc42074137"/>
      <w:r>
        <w:t>Single Route of Redress National Trial Expenses</w:t>
      </w:r>
      <w:bookmarkEnd w:id="43"/>
    </w:p>
    <w:p w14:paraId="29FFF709" w14:textId="77777777" w:rsidR="00714764" w:rsidRDefault="00714764" w:rsidP="00714764"/>
    <w:p w14:paraId="709552C7" w14:textId="0AB3392E" w:rsidR="004A12E6" w:rsidRPr="009D4091" w:rsidRDefault="004A12E6" w:rsidP="004A12E6">
      <w:pPr>
        <w:pStyle w:val="BodyText"/>
        <w:spacing w:before="11" w:line="240" w:lineRule="auto"/>
        <w:rPr>
          <w:rFonts w:asciiTheme="minorHAnsi" w:hAnsiTheme="minorHAnsi"/>
        </w:rPr>
      </w:pPr>
      <w:r w:rsidRPr="009D4091">
        <w:rPr>
          <w:rFonts w:asciiTheme="minorHAnsi" w:hAnsiTheme="minorHAnsi"/>
        </w:rPr>
        <w:t xml:space="preserve">Relating to appeals against </w:t>
      </w:r>
      <w:r w:rsidR="007C0BFD">
        <w:rPr>
          <w:rFonts w:asciiTheme="minorHAnsi" w:hAnsiTheme="minorHAnsi"/>
        </w:rPr>
        <w:t>l</w:t>
      </w:r>
      <w:r w:rsidRPr="009D4091">
        <w:rPr>
          <w:rFonts w:asciiTheme="minorHAnsi" w:hAnsiTheme="minorHAnsi"/>
        </w:rPr>
        <w:t xml:space="preserve">ocal </w:t>
      </w:r>
      <w:r w:rsidR="007C0BFD">
        <w:rPr>
          <w:rFonts w:asciiTheme="minorHAnsi" w:hAnsiTheme="minorHAnsi"/>
        </w:rPr>
        <w:t>a</w:t>
      </w:r>
      <w:r w:rsidRPr="009D4091">
        <w:rPr>
          <w:rFonts w:asciiTheme="minorHAnsi" w:hAnsiTheme="minorHAnsi"/>
        </w:rPr>
        <w:t>uthority decisions and EHC plans issued or amended between 3 April 2018 and 31 August 202</w:t>
      </w:r>
      <w:r w:rsidR="00B9239E">
        <w:rPr>
          <w:rFonts w:asciiTheme="minorHAnsi" w:hAnsiTheme="minorHAnsi"/>
        </w:rPr>
        <w:t>1</w:t>
      </w:r>
      <w:r w:rsidRPr="009D4091">
        <w:rPr>
          <w:rFonts w:asciiTheme="minorHAnsi" w:hAnsiTheme="minorHAnsi"/>
        </w:rPr>
        <w:t>,</w:t>
      </w:r>
      <w:r>
        <w:rPr>
          <w:rFonts w:asciiTheme="minorHAnsi" w:hAnsiTheme="minorHAnsi"/>
        </w:rPr>
        <w:t xml:space="preserve"> </w:t>
      </w:r>
      <w:r w:rsidR="007C0BFD">
        <w:rPr>
          <w:rFonts w:asciiTheme="minorHAnsi" w:hAnsiTheme="minorHAnsi"/>
        </w:rPr>
        <w:t>l</w:t>
      </w:r>
      <w:r>
        <w:rPr>
          <w:rFonts w:asciiTheme="minorHAnsi" w:hAnsiTheme="minorHAnsi"/>
        </w:rPr>
        <w:t xml:space="preserve">ocal </w:t>
      </w:r>
      <w:r w:rsidR="007C0BFD">
        <w:rPr>
          <w:rFonts w:asciiTheme="minorHAnsi" w:hAnsiTheme="minorHAnsi"/>
        </w:rPr>
        <w:t>a</w:t>
      </w:r>
      <w:r>
        <w:rPr>
          <w:rFonts w:asciiTheme="minorHAnsi" w:hAnsiTheme="minorHAnsi"/>
        </w:rPr>
        <w:t>uthorities can be awarded</w:t>
      </w:r>
      <w:r w:rsidRPr="009D4091">
        <w:rPr>
          <w:rFonts w:asciiTheme="minorHAnsi" w:hAnsiTheme="minorHAnsi"/>
        </w:rPr>
        <w:t xml:space="preserve"> a grant of up to £4,000 per case for SEND Tribunal trial activities under the national trial. This grant is to reimburse the reasonable endeavors of the </w:t>
      </w:r>
      <w:r w:rsidR="00362483">
        <w:rPr>
          <w:rFonts w:asciiTheme="minorHAnsi" w:hAnsiTheme="minorHAnsi"/>
        </w:rPr>
        <w:t>l</w:t>
      </w:r>
      <w:r w:rsidRPr="009D4091">
        <w:rPr>
          <w:rFonts w:asciiTheme="minorHAnsi" w:hAnsiTheme="minorHAnsi"/>
        </w:rPr>
        <w:t xml:space="preserve">ocal </w:t>
      </w:r>
      <w:r w:rsidR="00362483">
        <w:rPr>
          <w:rFonts w:asciiTheme="minorHAnsi" w:hAnsiTheme="minorHAnsi"/>
        </w:rPr>
        <w:t>a</w:t>
      </w:r>
      <w:r w:rsidRPr="009D4091">
        <w:rPr>
          <w:rFonts w:asciiTheme="minorHAnsi" w:hAnsiTheme="minorHAnsi"/>
        </w:rPr>
        <w:t>uthorities and health commissioning bodies to achieve the following:</w:t>
      </w:r>
    </w:p>
    <w:p w14:paraId="2B959FDE" w14:textId="77777777" w:rsidR="004A12E6" w:rsidRPr="009D4091" w:rsidRDefault="004A12E6" w:rsidP="004A12E6">
      <w:pPr>
        <w:pStyle w:val="BodyText"/>
        <w:numPr>
          <w:ilvl w:val="0"/>
          <w:numId w:val="6"/>
        </w:numPr>
        <w:spacing w:before="11" w:after="0" w:line="240" w:lineRule="auto"/>
        <w:rPr>
          <w:rFonts w:asciiTheme="minorHAnsi" w:hAnsiTheme="minorHAnsi"/>
        </w:rPr>
      </w:pPr>
      <w:r w:rsidRPr="009D4091">
        <w:rPr>
          <w:rFonts w:asciiTheme="minorHAnsi" w:hAnsiTheme="minorHAnsi"/>
        </w:rPr>
        <w:t>LAs informing the social care team and health commissioning body of the appeal.</w:t>
      </w:r>
    </w:p>
    <w:p w14:paraId="2622DFFE" w14:textId="77777777" w:rsidR="004A12E6" w:rsidRPr="009D4091" w:rsidRDefault="004A12E6" w:rsidP="004A12E6">
      <w:pPr>
        <w:pStyle w:val="BodyText"/>
        <w:numPr>
          <w:ilvl w:val="0"/>
          <w:numId w:val="6"/>
        </w:numPr>
        <w:spacing w:before="11" w:after="0" w:line="240" w:lineRule="auto"/>
        <w:rPr>
          <w:rFonts w:asciiTheme="minorHAnsi" w:hAnsiTheme="minorHAnsi"/>
        </w:rPr>
      </w:pPr>
      <w:r w:rsidRPr="009D4091">
        <w:rPr>
          <w:rFonts w:asciiTheme="minorHAnsi" w:hAnsiTheme="minorHAnsi"/>
        </w:rPr>
        <w:t>LAs collecting evidence from all parties to be presented at the Tribunal.</w:t>
      </w:r>
    </w:p>
    <w:p w14:paraId="22F7CCAC" w14:textId="77777777" w:rsidR="004A12E6" w:rsidRPr="009D4091" w:rsidRDefault="004A12E6" w:rsidP="004A12E6">
      <w:pPr>
        <w:pStyle w:val="BodyText"/>
        <w:numPr>
          <w:ilvl w:val="0"/>
          <w:numId w:val="6"/>
        </w:numPr>
        <w:spacing w:before="11" w:after="0" w:line="240" w:lineRule="auto"/>
        <w:rPr>
          <w:rFonts w:asciiTheme="minorHAnsi" w:hAnsiTheme="minorHAnsi"/>
        </w:rPr>
      </w:pPr>
      <w:r w:rsidRPr="009D4091">
        <w:rPr>
          <w:rFonts w:asciiTheme="minorHAnsi" w:hAnsiTheme="minorHAnsi"/>
        </w:rPr>
        <w:t>Attending an extended trial hearing if necessary.</w:t>
      </w:r>
    </w:p>
    <w:p w14:paraId="491606FC" w14:textId="77777777" w:rsidR="004A12E6" w:rsidRPr="009D4091" w:rsidRDefault="004A12E6" w:rsidP="004A12E6">
      <w:pPr>
        <w:pStyle w:val="BodyText"/>
        <w:numPr>
          <w:ilvl w:val="0"/>
          <w:numId w:val="6"/>
        </w:numPr>
        <w:spacing w:before="11" w:after="0" w:line="240" w:lineRule="auto"/>
        <w:rPr>
          <w:rFonts w:asciiTheme="minorHAnsi" w:hAnsiTheme="minorHAnsi"/>
        </w:rPr>
      </w:pPr>
      <w:r w:rsidRPr="009D4091">
        <w:rPr>
          <w:rFonts w:asciiTheme="minorHAnsi" w:hAnsiTheme="minorHAnsi"/>
        </w:rPr>
        <w:t>LAs to make payments to the social care teams and health commissioning body for costs incurred in relation to:</w:t>
      </w:r>
    </w:p>
    <w:p w14:paraId="6D16DD5E" w14:textId="77777777" w:rsidR="004A12E6" w:rsidRPr="009D4091" w:rsidRDefault="004A12E6" w:rsidP="004A12E6">
      <w:pPr>
        <w:pStyle w:val="BodyText"/>
        <w:numPr>
          <w:ilvl w:val="1"/>
          <w:numId w:val="6"/>
        </w:numPr>
        <w:spacing w:before="11" w:after="0" w:line="240" w:lineRule="auto"/>
        <w:rPr>
          <w:rFonts w:asciiTheme="minorHAnsi" w:hAnsiTheme="minorHAnsi"/>
        </w:rPr>
      </w:pPr>
      <w:r w:rsidRPr="009D4091">
        <w:rPr>
          <w:rFonts w:asciiTheme="minorHAnsi" w:hAnsiTheme="minorHAnsi"/>
        </w:rPr>
        <w:t>Gathering and sending evidence to the LA, and case management activities relating to the trial.</w:t>
      </w:r>
    </w:p>
    <w:p w14:paraId="2137479A" w14:textId="77777777" w:rsidR="004A12E6" w:rsidRPr="009D4091" w:rsidRDefault="004A12E6" w:rsidP="004A12E6">
      <w:pPr>
        <w:pStyle w:val="BodyText"/>
        <w:numPr>
          <w:ilvl w:val="1"/>
          <w:numId w:val="6"/>
        </w:numPr>
        <w:spacing w:before="11" w:after="0" w:line="240" w:lineRule="auto"/>
        <w:rPr>
          <w:rFonts w:asciiTheme="minorHAnsi" w:hAnsiTheme="minorHAnsi"/>
        </w:rPr>
      </w:pPr>
      <w:r w:rsidRPr="009D4091">
        <w:rPr>
          <w:rFonts w:asciiTheme="minorHAnsi" w:hAnsiTheme="minorHAnsi"/>
        </w:rPr>
        <w:t>Sending a witness to the trial hearing.</w:t>
      </w:r>
    </w:p>
    <w:p w14:paraId="60C29A83" w14:textId="77777777" w:rsidR="004A12E6" w:rsidRDefault="004A12E6" w:rsidP="004A12E6">
      <w:pPr>
        <w:pStyle w:val="BodyText"/>
        <w:numPr>
          <w:ilvl w:val="1"/>
          <w:numId w:val="6"/>
        </w:numPr>
        <w:spacing w:before="11" w:after="0" w:line="240" w:lineRule="auto"/>
        <w:rPr>
          <w:rFonts w:asciiTheme="minorHAnsi" w:hAnsiTheme="minorHAnsi"/>
        </w:rPr>
      </w:pPr>
      <w:r w:rsidRPr="009D4091">
        <w:rPr>
          <w:rFonts w:asciiTheme="minorHAnsi" w:hAnsiTheme="minorHAnsi"/>
        </w:rPr>
        <w:t>Responding to the LA and parents about the recommendations of the Tribunal.</w:t>
      </w:r>
    </w:p>
    <w:p w14:paraId="54FBEBDD" w14:textId="77777777" w:rsidR="004A12E6" w:rsidRPr="009D4091" w:rsidRDefault="004A12E6" w:rsidP="004A12E6">
      <w:pPr>
        <w:pStyle w:val="BodyText"/>
        <w:spacing w:before="11" w:line="240" w:lineRule="auto"/>
        <w:rPr>
          <w:rFonts w:asciiTheme="minorHAnsi" w:hAnsiTheme="minorHAnsi"/>
        </w:rPr>
      </w:pPr>
    </w:p>
    <w:p w14:paraId="5F944D9B" w14:textId="77777777" w:rsidR="004A12E6" w:rsidRDefault="004A12E6" w:rsidP="004A12E6">
      <w:pPr>
        <w:pStyle w:val="Heading2"/>
        <w:spacing w:before="74" w:after="240"/>
        <w:rPr>
          <w:rFonts w:asciiTheme="minorHAnsi" w:hAnsiTheme="minorHAnsi"/>
        </w:rPr>
      </w:pPr>
      <w:bookmarkStart w:id="44" w:name="_Toc42074138"/>
      <w:r>
        <w:rPr>
          <w:rFonts w:asciiTheme="minorHAnsi" w:hAnsiTheme="minorHAnsi"/>
        </w:rPr>
        <w:lastRenderedPageBreak/>
        <w:t>Where can I find all the resources required to make a National Trial expense claim?</w:t>
      </w:r>
      <w:bookmarkEnd w:id="44"/>
    </w:p>
    <w:p w14:paraId="577228B8" w14:textId="59AED8A7" w:rsidR="004A12E6" w:rsidRPr="009D5844" w:rsidRDefault="004A12E6" w:rsidP="004A12E6">
      <w:pPr>
        <w:spacing w:after="240"/>
        <w:rPr>
          <w:rStyle w:val="Hyperlink"/>
          <w:sz w:val="32"/>
          <w:szCs w:val="32"/>
        </w:rPr>
      </w:pPr>
      <w:r w:rsidRPr="00E25C9A">
        <w:rPr>
          <w:sz w:val="24"/>
          <w:szCs w:val="24"/>
        </w:rPr>
        <w:t xml:space="preserve">All expense claim guidance and resources can be found </w:t>
      </w:r>
      <w:r>
        <w:rPr>
          <w:sz w:val="24"/>
          <w:szCs w:val="24"/>
        </w:rPr>
        <w:t xml:space="preserve">on </w:t>
      </w:r>
      <w:r w:rsidRPr="00E25C9A">
        <w:rPr>
          <w:sz w:val="24"/>
          <w:szCs w:val="24"/>
        </w:rPr>
        <w:t>the</w:t>
      </w:r>
      <w:r w:rsidRPr="009D5844">
        <w:rPr>
          <w:sz w:val="32"/>
          <w:szCs w:val="32"/>
        </w:rPr>
        <w:t xml:space="preserve"> </w:t>
      </w:r>
      <w:r w:rsidR="006460BA" w:rsidRPr="009D5844">
        <w:rPr>
          <w:sz w:val="24"/>
          <w:szCs w:val="24"/>
        </w:rPr>
        <w:fldChar w:fldCharType="begin"/>
      </w:r>
      <w:r w:rsidR="006460BA" w:rsidRPr="009D5844">
        <w:rPr>
          <w:sz w:val="24"/>
          <w:szCs w:val="24"/>
        </w:rPr>
        <w:instrText xml:space="preserve"> HYPERLINK "https://www.sendpathfinder.co.uk/expenses" </w:instrText>
      </w:r>
      <w:r w:rsidR="006460BA" w:rsidRPr="009D5844">
        <w:rPr>
          <w:sz w:val="24"/>
          <w:szCs w:val="24"/>
        </w:rPr>
        <w:fldChar w:fldCharType="separate"/>
      </w:r>
      <w:r w:rsidRPr="009D5844">
        <w:rPr>
          <w:rStyle w:val="Hyperlink"/>
          <w:sz w:val="24"/>
          <w:szCs w:val="24"/>
        </w:rPr>
        <w:t>disagreement resolution online toolkit.</w:t>
      </w:r>
    </w:p>
    <w:p w14:paraId="51910CE2" w14:textId="047B8EC3" w:rsidR="004A12E6" w:rsidRDefault="006460BA" w:rsidP="004A12E6">
      <w:pPr>
        <w:pStyle w:val="BodyText"/>
        <w:spacing w:before="11"/>
        <w:rPr>
          <w:rFonts w:asciiTheme="minorHAnsi" w:hAnsiTheme="minorHAnsi"/>
          <w:sz w:val="23"/>
        </w:rPr>
      </w:pPr>
      <w:r w:rsidRPr="009D5844">
        <w:rPr>
          <w:rFonts w:asciiTheme="minorHAnsi" w:eastAsiaTheme="minorEastAsia" w:hAnsiTheme="minorHAnsi" w:cstheme="minorBidi"/>
        </w:rPr>
        <w:fldChar w:fldCharType="end"/>
      </w:r>
    </w:p>
    <w:p w14:paraId="44A82579" w14:textId="0F612651" w:rsidR="004A12E6" w:rsidRDefault="0071617F" w:rsidP="004A12E6">
      <w:pPr>
        <w:pStyle w:val="Heading2"/>
        <w:spacing w:before="74" w:after="240"/>
        <w:rPr>
          <w:rFonts w:asciiTheme="minorHAnsi" w:hAnsiTheme="minorHAnsi"/>
        </w:rPr>
      </w:pPr>
      <w:bookmarkStart w:id="45" w:name="_Toc42074139"/>
      <w:r>
        <w:rPr>
          <w:rFonts w:asciiTheme="minorHAnsi" w:hAnsiTheme="minorHAnsi"/>
        </w:rPr>
        <w:t>Is there a deadline for</w:t>
      </w:r>
      <w:r w:rsidR="004A12E6">
        <w:rPr>
          <w:rFonts w:asciiTheme="minorHAnsi" w:hAnsiTheme="minorHAnsi"/>
        </w:rPr>
        <w:t xml:space="preserve"> claiming National Trial expenses?</w:t>
      </w:r>
      <w:bookmarkEnd w:id="45"/>
    </w:p>
    <w:p w14:paraId="36B0EC83" w14:textId="76AD316C" w:rsidR="004A12E6" w:rsidRDefault="007A02A8" w:rsidP="004A12E6">
      <w:pPr>
        <w:spacing w:after="240"/>
        <w:rPr>
          <w:sz w:val="24"/>
          <w:szCs w:val="24"/>
        </w:rPr>
      </w:pPr>
      <w:r>
        <w:rPr>
          <w:sz w:val="24"/>
          <w:szCs w:val="24"/>
        </w:rPr>
        <w:t>L</w:t>
      </w:r>
      <w:r w:rsidR="004A12E6" w:rsidRPr="00C3034A">
        <w:rPr>
          <w:sz w:val="24"/>
          <w:szCs w:val="24"/>
        </w:rPr>
        <w:t xml:space="preserve">ocal authorities must submit all expenses claims within 3 months of the appeal conclusion, this can be at a hearing or an agreement reached through Tribunal casework.  </w:t>
      </w:r>
    </w:p>
    <w:p w14:paraId="3C6E36C2" w14:textId="18A56012" w:rsidR="004A12E6" w:rsidRPr="00E74065" w:rsidRDefault="004A12E6" w:rsidP="004A12E6">
      <w:pPr>
        <w:spacing w:after="240"/>
        <w:rPr>
          <w:sz w:val="24"/>
          <w:szCs w:val="24"/>
        </w:rPr>
      </w:pPr>
      <w:r w:rsidRPr="00E74065">
        <w:rPr>
          <w:sz w:val="24"/>
          <w:szCs w:val="24"/>
        </w:rPr>
        <w:t>Claims submitted outside of these timeframes will not be accepted, unless the LA can provide evidence of exceptional circumstances</w:t>
      </w:r>
      <w:r w:rsidR="00190C1F">
        <w:rPr>
          <w:sz w:val="24"/>
          <w:szCs w:val="24"/>
        </w:rPr>
        <w:t>.</w:t>
      </w:r>
      <w:r w:rsidRPr="00E74065">
        <w:rPr>
          <w:sz w:val="24"/>
          <w:szCs w:val="24"/>
        </w:rPr>
        <w:t xml:space="preserve"> DfE will consider whether to accept such claims on a case-by-case basis.</w:t>
      </w:r>
    </w:p>
    <w:p w14:paraId="6B3780CC" w14:textId="77777777" w:rsidR="004A12E6" w:rsidRPr="000B6876" w:rsidRDefault="004A12E6" w:rsidP="004A12E6">
      <w:pPr>
        <w:spacing w:after="240"/>
        <w:rPr>
          <w:i/>
          <w:iCs/>
          <w:sz w:val="24"/>
          <w:szCs w:val="24"/>
        </w:rPr>
      </w:pPr>
      <w:r w:rsidRPr="00E74065">
        <w:rPr>
          <w:i/>
          <w:iCs/>
          <w:sz w:val="24"/>
          <w:szCs w:val="24"/>
        </w:rPr>
        <w:t xml:space="preserve">For appeals heard before 4th November 2019, local authorities had 3 months from the 4th November to submit any outstanding expense claims. </w:t>
      </w:r>
    </w:p>
    <w:p w14:paraId="33B7B4C0" w14:textId="6BE20BF0" w:rsidR="000B6876" w:rsidRDefault="004A12E6" w:rsidP="004A12E6">
      <w:pPr>
        <w:spacing w:after="240"/>
        <w:rPr>
          <w:rStyle w:val="Hyperlink"/>
          <w:sz w:val="24"/>
          <w:szCs w:val="24"/>
        </w:rPr>
      </w:pPr>
      <w:r w:rsidRPr="000B6876">
        <w:rPr>
          <w:sz w:val="24"/>
          <w:szCs w:val="24"/>
        </w:rPr>
        <w:t xml:space="preserve">The full guidance can be found on the </w:t>
      </w:r>
      <w:hyperlink r:id="rId25" w:history="1">
        <w:r w:rsidRPr="000B6876">
          <w:rPr>
            <w:rStyle w:val="Hyperlink"/>
            <w:sz w:val="24"/>
            <w:szCs w:val="24"/>
          </w:rPr>
          <w:t>disagreement resolution online toolkit.</w:t>
        </w:r>
      </w:hyperlink>
    </w:p>
    <w:p w14:paraId="180E6B6F" w14:textId="467920D1" w:rsidR="004A12E6" w:rsidRPr="00EF45DE" w:rsidRDefault="004A12E6" w:rsidP="004A12E6">
      <w:pPr>
        <w:pStyle w:val="Heading1"/>
        <w:rPr>
          <w:rFonts w:asciiTheme="minorHAnsi" w:hAnsiTheme="minorHAnsi"/>
        </w:rPr>
      </w:pPr>
      <w:bookmarkStart w:id="46" w:name="_Toc42074140"/>
      <w:r w:rsidRPr="00EF45DE">
        <w:rPr>
          <w:rFonts w:asciiTheme="minorHAnsi" w:hAnsiTheme="minorHAnsi"/>
          <w:spacing w:val="-9"/>
        </w:rPr>
        <w:t xml:space="preserve">Advice </w:t>
      </w:r>
      <w:r w:rsidRPr="00EF45DE">
        <w:rPr>
          <w:rFonts w:asciiTheme="minorHAnsi" w:hAnsiTheme="minorHAnsi"/>
          <w:spacing w:val="-6"/>
        </w:rPr>
        <w:t xml:space="preserve">and </w:t>
      </w:r>
      <w:r w:rsidRPr="00EF45DE">
        <w:rPr>
          <w:rFonts w:asciiTheme="minorHAnsi" w:hAnsiTheme="minorHAnsi"/>
          <w:spacing w:val="-9"/>
        </w:rPr>
        <w:t>Support</w:t>
      </w:r>
      <w:bookmarkEnd w:id="46"/>
    </w:p>
    <w:p w14:paraId="7C3C4D4C" w14:textId="77777777" w:rsidR="004A12E6" w:rsidRPr="0086443F" w:rsidRDefault="004A12E6" w:rsidP="004A12E6">
      <w:pPr>
        <w:pStyle w:val="BodyText"/>
        <w:rPr>
          <w:rFonts w:asciiTheme="minorHAnsi" w:hAnsiTheme="minorHAnsi"/>
          <w:b/>
          <w:sz w:val="20"/>
        </w:rPr>
      </w:pPr>
    </w:p>
    <w:p w14:paraId="240EBDC8" w14:textId="77777777" w:rsidR="004A12E6" w:rsidRPr="00F72137" w:rsidRDefault="004A12E6" w:rsidP="00F72137">
      <w:pPr>
        <w:tabs>
          <w:tab w:val="left" w:pos="880"/>
          <w:tab w:val="left" w:pos="881"/>
        </w:tabs>
        <w:ind w:right="785"/>
        <w:rPr>
          <w:sz w:val="24"/>
        </w:rPr>
      </w:pPr>
      <w:r w:rsidRPr="00F72137">
        <w:rPr>
          <w:sz w:val="24"/>
        </w:rPr>
        <w:t>DfE SEND adviser and NHS England support teams will provide</w:t>
      </w:r>
      <w:r w:rsidRPr="00F72137">
        <w:rPr>
          <w:spacing w:val="-23"/>
          <w:sz w:val="24"/>
        </w:rPr>
        <w:t xml:space="preserve"> </w:t>
      </w:r>
      <w:r w:rsidRPr="00F72137">
        <w:rPr>
          <w:sz w:val="24"/>
        </w:rPr>
        <w:t>ongoing advice and support to local</w:t>
      </w:r>
      <w:r w:rsidRPr="00F72137">
        <w:rPr>
          <w:spacing w:val="-2"/>
          <w:sz w:val="24"/>
        </w:rPr>
        <w:t xml:space="preserve"> </w:t>
      </w:r>
      <w:r w:rsidRPr="00F72137">
        <w:rPr>
          <w:sz w:val="24"/>
        </w:rPr>
        <w:t>areas.</w:t>
      </w:r>
    </w:p>
    <w:p w14:paraId="6493689D" w14:textId="4ADA5E29" w:rsidR="004A12E6" w:rsidRPr="00F72137" w:rsidRDefault="004A12E6" w:rsidP="00F72137">
      <w:pPr>
        <w:tabs>
          <w:tab w:val="left" w:pos="880"/>
          <w:tab w:val="left" w:pos="881"/>
        </w:tabs>
        <w:ind w:right="336"/>
        <w:rPr>
          <w:sz w:val="24"/>
        </w:rPr>
      </w:pPr>
      <w:r w:rsidRPr="00F72137">
        <w:rPr>
          <w:sz w:val="24"/>
        </w:rPr>
        <w:t xml:space="preserve">There is a Toolkit of support materials </w:t>
      </w:r>
      <w:r w:rsidRPr="00F72137">
        <w:rPr>
          <w:spacing w:val="-1"/>
          <w:sz w:val="24"/>
        </w:rPr>
        <w:t>(</w:t>
      </w:r>
      <w:r w:rsidR="00FB6D61" w:rsidRPr="00FB6D61">
        <w:t xml:space="preserve"> </w:t>
      </w:r>
      <w:hyperlink r:id="rId26" w:history="1">
        <w:r w:rsidR="00FB6D61">
          <w:rPr>
            <w:rStyle w:val="Hyperlink"/>
          </w:rPr>
          <w:t>Extended Powers SEND Tribunal: Online Toolkit - Mott MacDonald (sendpathfinder.co.uk)</w:t>
        </w:r>
      </w:hyperlink>
      <w:r w:rsidRPr="00F72137">
        <w:rPr>
          <w:spacing w:val="-1"/>
          <w:sz w:val="24"/>
        </w:rPr>
        <w:t xml:space="preserve">) </w:t>
      </w:r>
      <w:r w:rsidRPr="00F72137">
        <w:rPr>
          <w:sz w:val="24"/>
        </w:rPr>
        <w:t>that</w:t>
      </w:r>
      <w:r w:rsidRPr="00F72137">
        <w:rPr>
          <w:spacing w:val="-1"/>
          <w:sz w:val="24"/>
        </w:rPr>
        <w:t xml:space="preserve"> </w:t>
      </w:r>
      <w:r w:rsidRPr="00F72137">
        <w:rPr>
          <w:sz w:val="24"/>
        </w:rPr>
        <w:t>includes:</w:t>
      </w:r>
    </w:p>
    <w:p w14:paraId="06212967" w14:textId="77777777" w:rsidR="004A12E6" w:rsidRPr="00836239" w:rsidRDefault="004A12E6" w:rsidP="004A12E6">
      <w:pPr>
        <w:pStyle w:val="ListParagraph"/>
        <w:numPr>
          <w:ilvl w:val="1"/>
          <w:numId w:val="5"/>
        </w:numPr>
        <w:tabs>
          <w:tab w:val="left" w:pos="851"/>
        </w:tabs>
        <w:ind w:right="236"/>
        <w:rPr>
          <w:sz w:val="24"/>
        </w:rPr>
      </w:pPr>
      <w:r w:rsidRPr="00836239">
        <w:rPr>
          <w:sz w:val="24"/>
        </w:rPr>
        <w:t>Guidance document for education, health and social care professionals and parents and young people as well as one-page</w:t>
      </w:r>
      <w:r w:rsidRPr="00836239">
        <w:rPr>
          <w:spacing w:val="-15"/>
          <w:sz w:val="24"/>
        </w:rPr>
        <w:t xml:space="preserve"> </w:t>
      </w:r>
      <w:r w:rsidRPr="00836239">
        <w:rPr>
          <w:sz w:val="24"/>
        </w:rPr>
        <w:t>summaries</w:t>
      </w:r>
    </w:p>
    <w:p w14:paraId="24783966" w14:textId="77777777" w:rsidR="004A12E6" w:rsidRDefault="004A12E6" w:rsidP="004A12E6">
      <w:pPr>
        <w:pStyle w:val="ListParagraph"/>
        <w:numPr>
          <w:ilvl w:val="1"/>
          <w:numId w:val="5"/>
        </w:numPr>
        <w:tabs>
          <w:tab w:val="left" w:pos="851"/>
        </w:tabs>
        <w:ind w:right="34"/>
        <w:rPr>
          <w:sz w:val="24"/>
        </w:rPr>
      </w:pPr>
      <w:r w:rsidRPr="00836239">
        <w:rPr>
          <w:sz w:val="24"/>
        </w:rPr>
        <w:t>Template wording for local offers and decision/response</w:t>
      </w:r>
      <w:r w:rsidRPr="00836239">
        <w:rPr>
          <w:spacing w:val="-24"/>
          <w:sz w:val="24"/>
        </w:rPr>
        <w:t xml:space="preserve"> </w:t>
      </w:r>
      <w:r w:rsidRPr="00836239">
        <w:rPr>
          <w:sz w:val="24"/>
        </w:rPr>
        <w:t>to recommendation</w:t>
      </w:r>
      <w:r w:rsidRPr="00836239">
        <w:rPr>
          <w:spacing w:val="-1"/>
          <w:sz w:val="24"/>
        </w:rPr>
        <w:t xml:space="preserve"> </w:t>
      </w:r>
      <w:r w:rsidRPr="00836239">
        <w:rPr>
          <w:sz w:val="24"/>
        </w:rPr>
        <w:t>letters</w:t>
      </w:r>
    </w:p>
    <w:p w14:paraId="333EB128" w14:textId="77777777" w:rsidR="004A12E6" w:rsidRDefault="004A12E6" w:rsidP="004A12E6">
      <w:pPr>
        <w:pStyle w:val="ListParagraph"/>
        <w:numPr>
          <w:ilvl w:val="1"/>
          <w:numId w:val="5"/>
        </w:numPr>
        <w:tabs>
          <w:tab w:val="left" w:pos="851"/>
        </w:tabs>
        <w:ind w:right="34"/>
        <w:rPr>
          <w:sz w:val="24"/>
        </w:rPr>
      </w:pPr>
      <w:r>
        <w:rPr>
          <w:sz w:val="24"/>
        </w:rPr>
        <w:t>Checklist and template wording for local authority decision letters</w:t>
      </w:r>
    </w:p>
    <w:p w14:paraId="5176DD7F" w14:textId="70C15D46" w:rsidR="004A12E6" w:rsidRPr="00487C19" w:rsidRDefault="004A12E6" w:rsidP="00487C19">
      <w:pPr>
        <w:pStyle w:val="ListParagraph"/>
        <w:numPr>
          <w:ilvl w:val="1"/>
          <w:numId w:val="5"/>
        </w:numPr>
        <w:tabs>
          <w:tab w:val="left" w:pos="851"/>
        </w:tabs>
        <w:rPr>
          <w:sz w:val="24"/>
        </w:rPr>
      </w:pPr>
      <w:r w:rsidRPr="00836239">
        <w:rPr>
          <w:sz w:val="24"/>
        </w:rPr>
        <w:t>Guidance and forms on claiming</w:t>
      </w:r>
      <w:r w:rsidRPr="00836239">
        <w:rPr>
          <w:spacing w:val="-7"/>
          <w:sz w:val="24"/>
        </w:rPr>
        <w:t xml:space="preserve"> </w:t>
      </w:r>
      <w:r w:rsidRPr="00836239">
        <w:rPr>
          <w:sz w:val="24"/>
        </w:rPr>
        <w:t>expenses</w:t>
      </w:r>
      <w:r>
        <w:rPr>
          <w:sz w:val="24"/>
        </w:rPr>
        <w:t xml:space="preserve"> and all associated expense claim documents</w:t>
      </w:r>
    </w:p>
    <w:p w14:paraId="472A6A5C" w14:textId="77777777" w:rsidR="00CA5487" w:rsidRDefault="00CA5487" w:rsidP="004A12E6">
      <w:pPr>
        <w:pStyle w:val="BodyText"/>
        <w:spacing w:before="7" w:after="240"/>
        <w:rPr>
          <w:rFonts w:asciiTheme="minorHAnsi" w:hAnsiTheme="minorHAnsi"/>
        </w:rPr>
      </w:pPr>
    </w:p>
    <w:p w14:paraId="413F348C" w14:textId="77777777" w:rsidR="00CA5487" w:rsidRPr="0086443F" w:rsidRDefault="00CA5487" w:rsidP="00CA5487">
      <w:pPr>
        <w:pStyle w:val="Heading2"/>
        <w:spacing w:before="182"/>
        <w:ind w:right="395"/>
        <w:rPr>
          <w:rFonts w:asciiTheme="minorHAnsi" w:hAnsiTheme="minorHAnsi"/>
        </w:rPr>
      </w:pPr>
      <w:bookmarkStart w:id="47" w:name="_Toc40779907"/>
      <w:bookmarkStart w:id="48" w:name="_Toc42074142"/>
      <w:r w:rsidRPr="0086443F">
        <w:rPr>
          <w:rFonts w:asciiTheme="minorHAnsi" w:hAnsiTheme="minorHAnsi"/>
        </w:rPr>
        <w:t>What support and information is available for parents and/or young people to get specific advice when going through the Tribunal process under the national trial?</w:t>
      </w:r>
      <w:bookmarkEnd w:id="47"/>
      <w:bookmarkEnd w:id="48"/>
    </w:p>
    <w:p w14:paraId="30CFB2A1" w14:textId="77777777" w:rsidR="00CA5487" w:rsidRPr="0086443F" w:rsidRDefault="00CA5487" w:rsidP="00CA5487">
      <w:pPr>
        <w:pStyle w:val="BodyText"/>
        <w:spacing w:before="120"/>
        <w:ind w:right="258"/>
        <w:rPr>
          <w:rFonts w:asciiTheme="minorHAnsi" w:hAnsiTheme="minorHAnsi"/>
        </w:rPr>
      </w:pPr>
      <w:r w:rsidRPr="0086443F">
        <w:rPr>
          <w:rFonts w:asciiTheme="minorHAnsi" w:hAnsiTheme="minorHAnsi"/>
        </w:rPr>
        <w:t xml:space="preserve">Information, Advice and Support Services (IASS) can provide free and impartial advice about the law on SEND, local SEND arrangements and support, and the trial. This can </w:t>
      </w:r>
      <w:r w:rsidRPr="0086443F">
        <w:rPr>
          <w:rFonts w:asciiTheme="minorHAnsi" w:hAnsiTheme="minorHAnsi"/>
        </w:rPr>
        <w:lastRenderedPageBreak/>
        <w:t>include support with managing appeals such as the preparation of cases and attendance at hearings, as well as signposting to mediation and other areas of support.</w:t>
      </w:r>
    </w:p>
    <w:p w14:paraId="2B04A72D" w14:textId="77777777" w:rsidR="00CA5487" w:rsidRPr="0086443F" w:rsidRDefault="00CA5487" w:rsidP="00CA5487">
      <w:pPr>
        <w:pStyle w:val="BodyText"/>
        <w:spacing w:before="120"/>
        <w:ind w:right="779"/>
        <w:rPr>
          <w:rFonts w:asciiTheme="minorHAnsi" w:hAnsiTheme="minorHAnsi"/>
        </w:rPr>
      </w:pPr>
      <w:r w:rsidRPr="0086443F">
        <w:rPr>
          <w:rFonts w:asciiTheme="minorHAnsi" w:hAnsiTheme="minorHAnsi"/>
        </w:rPr>
        <w:t xml:space="preserve">The Tribunal website on </w:t>
      </w:r>
      <w:hyperlink r:id="rId27">
        <w:r w:rsidRPr="0086443F">
          <w:rPr>
            <w:rFonts w:asciiTheme="minorHAnsi" w:hAnsiTheme="minorHAnsi"/>
            <w:color w:val="0462C1"/>
            <w:u w:val="single" w:color="0462C1"/>
          </w:rPr>
          <w:t>GOV.UK</w:t>
        </w:r>
        <w:r w:rsidRPr="0086443F">
          <w:rPr>
            <w:rFonts w:asciiTheme="minorHAnsi" w:hAnsiTheme="minorHAnsi"/>
            <w:color w:val="0462C1"/>
          </w:rPr>
          <w:t xml:space="preserve"> </w:t>
        </w:r>
      </w:hyperlink>
      <w:r w:rsidRPr="0086443F">
        <w:rPr>
          <w:rFonts w:asciiTheme="minorHAnsi" w:hAnsiTheme="minorHAnsi"/>
        </w:rPr>
        <w:t>gives advice on making SEND appeals to the Tribunal and links to the appeal form.</w:t>
      </w:r>
    </w:p>
    <w:p w14:paraId="6C8E3745" w14:textId="77777777" w:rsidR="00CA5487" w:rsidRPr="0086443F" w:rsidRDefault="00CA5487" w:rsidP="00CA5487">
      <w:pPr>
        <w:pStyle w:val="BodyText"/>
        <w:spacing w:before="121" w:line="259" w:lineRule="auto"/>
        <w:ind w:right="645"/>
        <w:rPr>
          <w:rFonts w:asciiTheme="minorHAnsi" w:hAnsiTheme="minorHAnsi"/>
        </w:rPr>
      </w:pPr>
      <w:r w:rsidRPr="0086443F">
        <w:rPr>
          <w:rFonts w:asciiTheme="minorHAnsi" w:hAnsiTheme="minorHAnsi"/>
        </w:rPr>
        <w:t>Every local authority will have Local Offers that contain further information on the trial, including links to other organisations that provide support.</w:t>
      </w:r>
    </w:p>
    <w:p w14:paraId="2D9F1B2B" w14:textId="4EBBE67D" w:rsidR="00CA5487" w:rsidRDefault="00CA5487" w:rsidP="00487C19">
      <w:pPr>
        <w:pStyle w:val="BodyText"/>
        <w:spacing w:before="160" w:line="259" w:lineRule="auto"/>
        <w:ind w:right="444"/>
        <w:rPr>
          <w:rFonts w:asciiTheme="minorHAnsi" w:hAnsiTheme="minorHAnsi"/>
        </w:rPr>
      </w:pPr>
      <w:r w:rsidRPr="0086443F">
        <w:rPr>
          <w:rFonts w:asciiTheme="minorHAnsi" w:hAnsiTheme="minorHAnsi"/>
        </w:rPr>
        <w:t>A guide that explains how young people aged 16-25 who are unhappy with their SEND support can find help in resolving those issues has been published</w:t>
      </w:r>
      <w:r w:rsidR="007B0DAA">
        <w:rPr>
          <w:rFonts w:asciiTheme="minorHAnsi" w:hAnsiTheme="minorHAnsi"/>
        </w:rPr>
        <w:t>,</w:t>
      </w:r>
      <w:r w:rsidR="00241F12">
        <w:rPr>
          <w:rFonts w:asciiTheme="minorHAnsi" w:hAnsiTheme="minorHAnsi"/>
        </w:rPr>
        <w:t xml:space="preserve"> ‘</w:t>
      </w:r>
      <w:r w:rsidRPr="00E22B3C">
        <w:rPr>
          <w:rFonts w:asciiTheme="minorHAnsi" w:hAnsiTheme="minorHAnsi" w:cstheme="minorHAnsi"/>
          <w:color w:val="0462C1"/>
          <w:spacing w:val="-60"/>
          <w:u w:val="single" w:color="0462C1"/>
        </w:rPr>
        <w:t xml:space="preserve"> </w:t>
      </w:r>
      <w:r w:rsidR="008C6025" w:rsidRPr="00E22B3C">
        <w:rPr>
          <w:rFonts w:asciiTheme="minorHAnsi" w:hAnsiTheme="minorHAnsi" w:cstheme="minorHAnsi"/>
          <w:color w:val="0462C1"/>
          <w:spacing w:val="-60"/>
          <w:u w:val="single" w:color="0462C1"/>
        </w:rPr>
        <w:t xml:space="preserve"> </w:t>
      </w:r>
      <w:r w:rsidR="008C6025">
        <w:rPr>
          <w:rFonts w:asciiTheme="minorHAnsi" w:hAnsiTheme="minorHAnsi" w:cstheme="minorHAnsi"/>
          <w:color w:val="0462C1"/>
          <w:spacing w:val="-60"/>
          <w:u w:val="single" w:color="0462C1"/>
        </w:rPr>
        <w:t xml:space="preserve"> </w:t>
      </w:r>
      <w:r w:rsidR="00964528">
        <w:rPr>
          <w:rFonts w:asciiTheme="minorHAnsi" w:hAnsiTheme="minorHAnsi" w:cstheme="minorHAnsi"/>
          <w:color w:val="0462C1"/>
          <w:spacing w:val="-60"/>
          <w:u w:val="single" w:color="0462C1"/>
        </w:rPr>
        <w:t xml:space="preserve">      </w:t>
      </w:r>
      <w:r w:rsidRPr="00241F12">
        <w:rPr>
          <w:rFonts w:asciiTheme="minorHAnsi" w:hAnsiTheme="minorHAnsi"/>
        </w:rPr>
        <w:t>When people can’t agree – Special Educational Needs and Disability Complaints: a</w:t>
      </w:r>
      <w:r w:rsidR="00487C19" w:rsidRPr="00241F12">
        <w:rPr>
          <w:rFonts w:asciiTheme="minorHAnsi" w:hAnsiTheme="minorHAnsi"/>
        </w:rPr>
        <w:t xml:space="preserve"> </w:t>
      </w:r>
      <w:hyperlink r:id="rId28">
        <w:r w:rsidRPr="00241F12">
          <w:rPr>
            <w:rFonts w:asciiTheme="minorHAnsi" w:hAnsiTheme="minorHAnsi"/>
          </w:rPr>
          <w:t xml:space="preserve"> guide for Young People in education’ </w:t>
        </w:r>
      </w:hyperlink>
      <w:r w:rsidRPr="0086443F">
        <w:rPr>
          <w:rFonts w:asciiTheme="minorHAnsi" w:hAnsiTheme="minorHAnsi"/>
        </w:rPr>
        <w:t>and is aimed at young people with SEND, their families and those that support them</w:t>
      </w:r>
      <w:r>
        <w:rPr>
          <w:rFonts w:asciiTheme="minorHAnsi" w:hAnsiTheme="minorHAnsi"/>
        </w:rPr>
        <w:t xml:space="preserve">. It can be found </w:t>
      </w:r>
      <w:hyperlink r:id="rId29" w:history="1">
        <w:r w:rsidRPr="00FD5C03">
          <w:rPr>
            <w:rStyle w:val="Hyperlink"/>
            <w:rFonts w:asciiTheme="minorHAnsi" w:hAnsiTheme="minorHAnsi"/>
          </w:rPr>
          <w:t>here</w:t>
        </w:r>
      </w:hyperlink>
      <w:r>
        <w:rPr>
          <w:rFonts w:asciiTheme="minorHAnsi" w:hAnsiTheme="minorHAnsi"/>
        </w:rPr>
        <w:t xml:space="preserve"> on the online toolkit.</w:t>
      </w:r>
      <w:r w:rsidRPr="0086443F">
        <w:rPr>
          <w:rFonts w:asciiTheme="minorHAnsi" w:hAnsiTheme="minorHAnsi"/>
        </w:rPr>
        <w:t xml:space="preserve"> </w:t>
      </w:r>
    </w:p>
    <w:p w14:paraId="4BE21F1B" w14:textId="77777777" w:rsidR="00CA5487" w:rsidRDefault="00CA5487" w:rsidP="00CA5487">
      <w:pPr>
        <w:pStyle w:val="BodyText"/>
        <w:ind w:right="752"/>
        <w:rPr>
          <w:rFonts w:asciiTheme="minorHAnsi" w:hAnsiTheme="minorHAnsi"/>
          <w:color w:val="0462C1"/>
          <w:u w:val="single" w:color="0462C1"/>
        </w:rPr>
      </w:pPr>
    </w:p>
    <w:p w14:paraId="3CD02A85" w14:textId="77777777" w:rsidR="00CA5487" w:rsidRPr="00EF45DE" w:rsidRDefault="00CA5487" w:rsidP="00CA5487">
      <w:pPr>
        <w:pStyle w:val="Heading1"/>
        <w:rPr>
          <w:rFonts w:asciiTheme="minorHAnsi" w:hAnsiTheme="minorHAnsi"/>
        </w:rPr>
      </w:pPr>
      <w:bookmarkStart w:id="49" w:name="_Toc42074143"/>
      <w:r>
        <w:rPr>
          <w:rFonts w:asciiTheme="minorHAnsi" w:hAnsiTheme="minorHAnsi"/>
          <w:spacing w:val="-9"/>
        </w:rPr>
        <w:t>Helpful Documents and Information</w:t>
      </w:r>
      <w:bookmarkEnd w:id="49"/>
    </w:p>
    <w:p w14:paraId="6BF4C6AC" w14:textId="0BF261FF" w:rsidR="005B05BC" w:rsidRPr="005B05BC" w:rsidRDefault="005B05BC" w:rsidP="005B05BC">
      <w:pPr>
        <w:pStyle w:val="BodyText"/>
        <w:rPr>
          <w:rFonts w:asciiTheme="minorHAnsi" w:hAnsiTheme="minorHAnsi" w:cstheme="minorHAnsi"/>
          <w:color w:val="0563C1" w:themeColor="hyperlink"/>
          <w:u w:val="single"/>
        </w:rPr>
      </w:pPr>
    </w:p>
    <w:p w14:paraId="66254B25" w14:textId="31217791" w:rsidR="00216F57" w:rsidRDefault="00216F57" w:rsidP="00216F57">
      <w:pPr>
        <w:pStyle w:val="Heading2"/>
        <w:spacing w:after="240"/>
        <w:rPr>
          <w:rFonts w:asciiTheme="minorHAnsi" w:hAnsiTheme="minorHAnsi"/>
        </w:rPr>
      </w:pPr>
      <w:r>
        <w:rPr>
          <w:rFonts w:asciiTheme="minorHAnsi" w:hAnsiTheme="minorHAnsi"/>
        </w:rPr>
        <w:t>Factsheets</w:t>
      </w:r>
    </w:p>
    <w:p w14:paraId="3FC0AA6D" w14:textId="6AB345A4" w:rsidR="00216F57" w:rsidRPr="004B6064" w:rsidRDefault="00216F57" w:rsidP="00216F57">
      <w:pPr>
        <w:pStyle w:val="BodyText"/>
        <w:spacing w:line="240" w:lineRule="auto"/>
        <w:rPr>
          <w:rFonts w:asciiTheme="minorHAnsi" w:hAnsiTheme="minorHAnsi" w:cstheme="minorHAnsi"/>
        </w:rPr>
      </w:pPr>
      <w:r w:rsidRPr="004B6064">
        <w:rPr>
          <w:rFonts w:asciiTheme="minorHAnsi" w:hAnsiTheme="minorHAnsi" w:cstheme="minorHAnsi"/>
        </w:rPr>
        <w:t xml:space="preserve">A series of factsheets that have been prepared to </w:t>
      </w:r>
      <w:r w:rsidR="00BF7F27">
        <w:rPr>
          <w:rFonts w:asciiTheme="minorHAnsi" w:hAnsiTheme="minorHAnsi" w:cstheme="minorHAnsi"/>
        </w:rPr>
        <w:t>give</w:t>
      </w:r>
      <w:r w:rsidR="00BF7F27" w:rsidRPr="004B6064">
        <w:rPr>
          <w:rFonts w:asciiTheme="minorHAnsi" w:hAnsiTheme="minorHAnsi" w:cstheme="minorHAnsi"/>
        </w:rPr>
        <w:t xml:space="preserve"> </w:t>
      </w:r>
      <w:r w:rsidRPr="004B6064">
        <w:rPr>
          <w:rFonts w:asciiTheme="minorHAnsi" w:hAnsiTheme="minorHAnsi" w:cstheme="minorHAnsi"/>
        </w:rPr>
        <w:t>local authorities key information</w:t>
      </w:r>
      <w:r w:rsidR="006746FB">
        <w:rPr>
          <w:rFonts w:asciiTheme="minorHAnsi" w:hAnsiTheme="minorHAnsi" w:cstheme="minorHAnsi"/>
        </w:rPr>
        <w:t>, advice and to</w:t>
      </w:r>
      <w:r w:rsidR="00BF7F27">
        <w:rPr>
          <w:rFonts w:asciiTheme="minorHAnsi" w:hAnsiTheme="minorHAnsi" w:cstheme="minorHAnsi"/>
        </w:rPr>
        <w:t>p tips</w:t>
      </w:r>
      <w:r w:rsidR="003A69AC">
        <w:rPr>
          <w:rFonts w:asciiTheme="minorHAnsi" w:hAnsiTheme="minorHAnsi" w:cstheme="minorHAnsi"/>
        </w:rPr>
        <w:t xml:space="preserve"> for preparing</w:t>
      </w:r>
      <w:r w:rsidRPr="004B6064">
        <w:rPr>
          <w:rFonts w:asciiTheme="minorHAnsi" w:hAnsiTheme="minorHAnsi" w:cstheme="minorHAnsi"/>
        </w:rPr>
        <w:t xml:space="preserve"> </w:t>
      </w:r>
      <w:r w:rsidR="00A576FB">
        <w:rPr>
          <w:rFonts w:asciiTheme="minorHAnsi" w:hAnsiTheme="minorHAnsi" w:cstheme="minorHAnsi"/>
        </w:rPr>
        <w:t>for</w:t>
      </w:r>
      <w:r w:rsidRPr="004B6064">
        <w:rPr>
          <w:rFonts w:asciiTheme="minorHAnsi" w:hAnsiTheme="minorHAnsi" w:cstheme="minorHAnsi"/>
        </w:rPr>
        <w:t>, mediation and disagreement resolution services.</w:t>
      </w:r>
    </w:p>
    <w:p w14:paraId="5A4C2859" w14:textId="77777777" w:rsidR="00CC639C" w:rsidRDefault="00CC639C" w:rsidP="00CC639C">
      <w:pPr>
        <w:pStyle w:val="BodyText"/>
        <w:rPr>
          <w:rFonts w:asciiTheme="minorHAnsi" w:hAnsiTheme="minorHAnsi"/>
        </w:rPr>
      </w:pPr>
      <w:r w:rsidRPr="004B6064">
        <w:rPr>
          <w:rFonts w:asciiTheme="minorHAnsi" w:hAnsiTheme="minorHAnsi" w:cstheme="minorHAnsi"/>
        </w:rPr>
        <w:t>Th</w:t>
      </w:r>
      <w:r>
        <w:rPr>
          <w:rFonts w:asciiTheme="minorHAnsi" w:hAnsiTheme="minorHAnsi" w:cstheme="minorHAnsi"/>
        </w:rPr>
        <w:t>is</w:t>
      </w:r>
      <w:r w:rsidRPr="004B6064">
        <w:rPr>
          <w:rFonts w:asciiTheme="minorHAnsi" w:hAnsiTheme="minorHAnsi" w:cstheme="minorHAnsi"/>
        </w:rPr>
        <w:t xml:space="preserve"> can be found </w:t>
      </w:r>
      <w:r>
        <w:rPr>
          <w:rFonts w:asciiTheme="minorHAnsi" w:hAnsiTheme="minorHAnsi" w:cstheme="minorHAnsi"/>
        </w:rPr>
        <w:t>i</w:t>
      </w:r>
      <w:r w:rsidRPr="004B6064">
        <w:rPr>
          <w:rFonts w:asciiTheme="minorHAnsi" w:hAnsiTheme="minorHAnsi" w:cstheme="minorHAnsi"/>
        </w:rPr>
        <w:t xml:space="preserve">n the </w:t>
      </w:r>
      <w:hyperlink r:id="rId30" w:history="1">
        <w:r w:rsidRPr="00CC639C">
          <w:rPr>
            <w:rStyle w:val="Hyperlink"/>
            <w:rFonts w:asciiTheme="minorHAnsi" w:hAnsiTheme="minorHAnsi" w:cstheme="minorHAnsi"/>
          </w:rPr>
          <w:t>SEND information packs and resources section</w:t>
        </w:r>
      </w:hyperlink>
      <w:r>
        <w:rPr>
          <w:rFonts w:asciiTheme="minorHAnsi" w:hAnsiTheme="minorHAnsi" w:cstheme="minorHAnsi"/>
        </w:rPr>
        <w:t xml:space="preserve"> of the online toolkit. </w:t>
      </w:r>
    </w:p>
    <w:p w14:paraId="02E6A3C9" w14:textId="77777777" w:rsidR="004D5C62" w:rsidRPr="004D5C62" w:rsidRDefault="004D5C62" w:rsidP="00216F57">
      <w:pPr>
        <w:pStyle w:val="BodyText"/>
        <w:rPr>
          <w:rFonts w:asciiTheme="minorHAnsi" w:hAnsiTheme="minorHAnsi" w:cstheme="minorHAnsi"/>
          <w:color w:val="0563C1" w:themeColor="hyperlink"/>
          <w:u w:val="single"/>
        </w:rPr>
      </w:pPr>
    </w:p>
    <w:p w14:paraId="6B1261A2" w14:textId="77777777" w:rsidR="00216F57" w:rsidRDefault="00216F57" w:rsidP="00216F57">
      <w:pPr>
        <w:pStyle w:val="Heading2"/>
        <w:spacing w:after="240"/>
        <w:rPr>
          <w:rFonts w:asciiTheme="minorHAnsi" w:hAnsiTheme="minorHAnsi"/>
        </w:rPr>
      </w:pPr>
      <w:r>
        <w:rPr>
          <w:rFonts w:asciiTheme="minorHAnsi" w:hAnsiTheme="minorHAnsi"/>
        </w:rPr>
        <w:t>Q&amp;A Webinar</w:t>
      </w:r>
    </w:p>
    <w:p w14:paraId="31E0710D" w14:textId="21CB3B89" w:rsidR="004D5C62" w:rsidRDefault="00AA37BC" w:rsidP="004D5C62">
      <w:pPr>
        <w:pStyle w:val="BodyText"/>
        <w:rPr>
          <w:rFonts w:asciiTheme="minorHAnsi" w:hAnsiTheme="minorHAnsi" w:cstheme="minorHAnsi"/>
        </w:rPr>
      </w:pPr>
      <w:r>
        <w:rPr>
          <w:rFonts w:asciiTheme="minorHAnsi" w:hAnsiTheme="minorHAnsi" w:cstheme="minorHAnsi"/>
        </w:rPr>
        <w:t xml:space="preserve">In the </w:t>
      </w:r>
      <w:hyperlink r:id="rId31" w:history="1">
        <w:r>
          <w:rPr>
            <w:rStyle w:val="Hyperlink"/>
            <w:rFonts w:asciiTheme="minorHAnsi" w:hAnsiTheme="minorHAnsi" w:cstheme="minorHAnsi"/>
          </w:rPr>
          <w:t>e</w:t>
        </w:r>
        <w:r w:rsidRPr="00AA37BC">
          <w:rPr>
            <w:rStyle w:val="Hyperlink"/>
            <w:rFonts w:asciiTheme="minorHAnsi" w:hAnsiTheme="minorHAnsi" w:cstheme="minorHAnsi"/>
          </w:rPr>
          <w:t>vent</w:t>
        </w:r>
        <w:r>
          <w:rPr>
            <w:rStyle w:val="Hyperlink"/>
            <w:rFonts w:asciiTheme="minorHAnsi" w:hAnsiTheme="minorHAnsi" w:cstheme="minorHAnsi"/>
          </w:rPr>
          <w:t xml:space="preserve"> materials </w:t>
        </w:r>
        <w:r w:rsidRPr="00AA37BC">
          <w:rPr>
            <w:rStyle w:val="Hyperlink"/>
            <w:rFonts w:asciiTheme="minorHAnsi" w:hAnsiTheme="minorHAnsi" w:cstheme="minorHAnsi"/>
          </w:rPr>
          <w:t xml:space="preserve">and </w:t>
        </w:r>
        <w:r>
          <w:rPr>
            <w:rStyle w:val="Hyperlink"/>
            <w:rFonts w:asciiTheme="minorHAnsi" w:hAnsiTheme="minorHAnsi" w:cstheme="minorHAnsi"/>
          </w:rPr>
          <w:t>w</w:t>
        </w:r>
        <w:r w:rsidRPr="00AA37BC">
          <w:rPr>
            <w:rStyle w:val="Hyperlink"/>
            <w:rFonts w:asciiTheme="minorHAnsi" w:hAnsiTheme="minorHAnsi" w:cstheme="minorHAnsi"/>
          </w:rPr>
          <w:t>ebinars section</w:t>
        </w:r>
      </w:hyperlink>
      <w:r>
        <w:rPr>
          <w:rFonts w:asciiTheme="minorHAnsi" w:hAnsiTheme="minorHAnsi" w:cstheme="minorHAnsi"/>
        </w:rPr>
        <w:t xml:space="preserve"> of the </w:t>
      </w:r>
      <w:r w:rsidR="00216F57" w:rsidRPr="00AA37BC">
        <w:rPr>
          <w:rFonts w:asciiTheme="minorHAnsi" w:hAnsiTheme="minorHAnsi" w:cstheme="minorHAnsi"/>
        </w:rPr>
        <w:t>online toolkit</w:t>
      </w:r>
      <w:r w:rsidR="00216F57" w:rsidRPr="009A3918">
        <w:rPr>
          <w:rFonts w:asciiTheme="minorHAnsi" w:hAnsiTheme="minorHAnsi" w:cstheme="minorHAnsi"/>
          <w:b/>
          <w:bCs/>
        </w:rPr>
        <w:t>,</w:t>
      </w:r>
      <w:r w:rsidR="00216F57" w:rsidRPr="003A79C4">
        <w:rPr>
          <w:rFonts w:asciiTheme="minorHAnsi" w:hAnsiTheme="minorHAnsi" w:cstheme="minorHAnsi"/>
        </w:rPr>
        <w:t xml:space="preserve"> you can find a Q&amp;A webinar hosted by DfE SEND Adviser, Andre Imich</w:t>
      </w:r>
      <w:r w:rsidR="00216F57">
        <w:rPr>
          <w:rFonts w:asciiTheme="minorHAnsi" w:hAnsiTheme="minorHAnsi" w:cstheme="minorHAnsi"/>
        </w:rPr>
        <w:t xml:space="preserve">. </w:t>
      </w:r>
      <w:r w:rsidR="00216F57" w:rsidRPr="003A79C4">
        <w:rPr>
          <w:rFonts w:asciiTheme="minorHAnsi" w:hAnsiTheme="minorHAnsi" w:cstheme="minorHAnsi"/>
        </w:rPr>
        <w:t>This covers a wide range of the most frequently asked questions about the SEND Single Route of Redress National Trial.</w:t>
      </w:r>
    </w:p>
    <w:p w14:paraId="10A6B72B" w14:textId="77777777" w:rsidR="004D5C62" w:rsidRPr="004D5C62" w:rsidRDefault="004D5C62" w:rsidP="004D5C62">
      <w:pPr>
        <w:pStyle w:val="BodyText"/>
        <w:rPr>
          <w:rFonts w:asciiTheme="minorHAnsi" w:hAnsiTheme="minorHAnsi" w:cstheme="minorHAnsi"/>
        </w:rPr>
      </w:pPr>
    </w:p>
    <w:p w14:paraId="3E40A3FD" w14:textId="7AF20CA0" w:rsidR="000B1769" w:rsidRDefault="000B1769" w:rsidP="000B1769">
      <w:pPr>
        <w:pStyle w:val="Heading2"/>
        <w:spacing w:after="240"/>
        <w:rPr>
          <w:rFonts w:asciiTheme="minorHAnsi" w:hAnsiTheme="minorHAnsi"/>
        </w:rPr>
      </w:pPr>
      <w:r>
        <w:rPr>
          <w:rFonts w:asciiTheme="minorHAnsi" w:hAnsiTheme="minorHAnsi"/>
        </w:rPr>
        <w:t>Young Persons Guide to Complaints</w:t>
      </w:r>
    </w:p>
    <w:p w14:paraId="3DE65B40" w14:textId="601B8DF2" w:rsidR="005B05BC" w:rsidRDefault="005B05BC" w:rsidP="005B05BC">
      <w:pPr>
        <w:pStyle w:val="BodyText"/>
        <w:rPr>
          <w:rFonts w:asciiTheme="minorHAnsi" w:hAnsiTheme="minorHAnsi" w:cstheme="minorHAnsi"/>
        </w:rPr>
      </w:pPr>
      <w:r w:rsidRPr="005B05BC">
        <w:rPr>
          <w:rFonts w:asciiTheme="minorHAnsi" w:hAnsiTheme="minorHAnsi" w:cstheme="minorHAnsi"/>
        </w:rPr>
        <w:t xml:space="preserve">A guide for young people aged 16 to 25 </w:t>
      </w:r>
      <w:r>
        <w:rPr>
          <w:rFonts w:asciiTheme="minorHAnsi" w:hAnsiTheme="minorHAnsi" w:cstheme="minorHAnsi"/>
        </w:rPr>
        <w:t xml:space="preserve">has been produced for those </w:t>
      </w:r>
      <w:r w:rsidRPr="005B05BC">
        <w:rPr>
          <w:rFonts w:asciiTheme="minorHAnsi" w:hAnsiTheme="minorHAnsi" w:cstheme="minorHAnsi"/>
        </w:rPr>
        <w:t>who want to know who to talk to if you they unhappy with the help they are getting for their special educational needs or disability at school or college.</w:t>
      </w:r>
      <w:r>
        <w:rPr>
          <w:rFonts w:asciiTheme="minorHAnsi" w:hAnsiTheme="minorHAnsi" w:cstheme="minorHAnsi"/>
        </w:rPr>
        <w:t xml:space="preserve"> </w:t>
      </w:r>
      <w:r w:rsidRPr="005B05BC">
        <w:rPr>
          <w:rFonts w:asciiTheme="minorHAnsi" w:hAnsiTheme="minorHAnsi" w:cstheme="minorHAnsi"/>
        </w:rPr>
        <w:t>You might also find this guide useful if you are an organisation supporting young people.</w:t>
      </w:r>
      <w:r>
        <w:rPr>
          <w:rFonts w:asciiTheme="minorHAnsi" w:hAnsiTheme="minorHAnsi" w:cstheme="minorHAnsi"/>
        </w:rPr>
        <w:t xml:space="preserve"> </w:t>
      </w:r>
    </w:p>
    <w:p w14:paraId="3DC870B9" w14:textId="21CE9B86" w:rsidR="00CC639C" w:rsidRDefault="000B1769" w:rsidP="00CC639C">
      <w:pPr>
        <w:pStyle w:val="BodyText"/>
        <w:rPr>
          <w:rFonts w:asciiTheme="minorHAnsi" w:hAnsiTheme="minorHAnsi"/>
        </w:rPr>
      </w:pPr>
      <w:r w:rsidRPr="004B6064">
        <w:rPr>
          <w:rFonts w:asciiTheme="minorHAnsi" w:hAnsiTheme="minorHAnsi" w:cstheme="minorHAnsi"/>
        </w:rPr>
        <w:t>Th</w:t>
      </w:r>
      <w:r>
        <w:rPr>
          <w:rFonts w:asciiTheme="minorHAnsi" w:hAnsiTheme="minorHAnsi" w:cstheme="minorHAnsi"/>
        </w:rPr>
        <w:t>is</w:t>
      </w:r>
      <w:r w:rsidRPr="004B6064">
        <w:rPr>
          <w:rFonts w:asciiTheme="minorHAnsi" w:hAnsiTheme="minorHAnsi" w:cstheme="minorHAnsi"/>
        </w:rPr>
        <w:t xml:space="preserve"> can be found </w:t>
      </w:r>
      <w:r w:rsidR="00242216">
        <w:rPr>
          <w:rFonts w:asciiTheme="minorHAnsi" w:hAnsiTheme="minorHAnsi" w:cstheme="minorHAnsi"/>
        </w:rPr>
        <w:t>i</w:t>
      </w:r>
      <w:r w:rsidRPr="004B6064">
        <w:rPr>
          <w:rFonts w:asciiTheme="minorHAnsi" w:hAnsiTheme="minorHAnsi" w:cstheme="minorHAnsi"/>
        </w:rPr>
        <w:t xml:space="preserve">n the </w:t>
      </w:r>
      <w:hyperlink r:id="rId32" w:history="1">
        <w:r w:rsidR="00CC639C" w:rsidRPr="00CC639C">
          <w:rPr>
            <w:rStyle w:val="Hyperlink"/>
            <w:rFonts w:asciiTheme="minorHAnsi" w:hAnsiTheme="minorHAnsi" w:cstheme="minorHAnsi"/>
          </w:rPr>
          <w:t>SEND information packs and resources section</w:t>
        </w:r>
      </w:hyperlink>
      <w:r w:rsidR="00CC639C">
        <w:rPr>
          <w:rFonts w:asciiTheme="minorHAnsi" w:hAnsiTheme="minorHAnsi" w:cstheme="minorHAnsi"/>
        </w:rPr>
        <w:t xml:space="preserve"> of the online toolkit. </w:t>
      </w:r>
    </w:p>
    <w:p w14:paraId="5116A01A" w14:textId="0A0FC985" w:rsidR="00CA5487" w:rsidRDefault="00CA5487" w:rsidP="00CA5487">
      <w:pPr>
        <w:pStyle w:val="BodyText"/>
        <w:rPr>
          <w:rFonts w:asciiTheme="minorHAnsi" w:hAnsiTheme="minorHAnsi"/>
        </w:rPr>
      </w:pPr>
    </w:p>
    <w:p w14:paraId="189F9C6C" w14:textId="77777777" w:rsidR="000B1769" w:rsidRDefault="000B1769" w:rsidP="00CA5487">
      <w:pPr>
        <w:pStyle w:val="BodyText"/>
        <w:rPr>
          <w:rFonts w:asciiTheme="minorHAnsi" w:hAnsiTheme="minorHAnsi"/>
        </w:rPr>
      </w:pPr>
    </w:p>
    <w:p w14:paraId="5125B2B8" w14:textId="7BC1CBAF" w:rsidR="005A0364" w:rsidRDefault="005A0364" w:rsidP="00001F79"/>
    <w:sectPr w:rsidR="005A0364">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E9B2" w14:textId="77777777" w:rsidR="00C629C1" w:rsidRDefault="00C629C1">
      <w:pPr>
        <w:spacing w:after="0" w:line="240" w:lineRule="auto"/>
      </w:pPr>
      <w:r>
        <w:separator/>
      </w:r>
    </w:p>
  </w:endnote>
  <w:endnote w:type="continuationSeparator" w:id="0">
    <w:p w14:paraId="3833EDD4" w14:textId="77777777" w:rsidR="00C629C1" w:rsidRDefault="00C6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26135"/>
      <w:docPartObj>
        <w:docPartGallery w:val="Page Numbers (Bottom of Page)"/>
        <w:docPartUnique/>
      </w:docPartObj>
    </w:sdtPr>
    <w:sdtEndPr>
      <w:rPr>
        <w:noProof/>
      </w:rPr>
    </w:sdtEndPr>
    <w:sdtContent>
      <w:p w14:paraId="20745E7B" w14:textId="77777777" w:rsidR="00EA580B" w:rsidRDefault="00216F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5952F3" w14:textId="77777777" w:rsidR="001B157B" w:rsidRDefault="00CF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0BA1" w14:textId="77777777" w:rsidR="00C629C1" w:rsidRDefault="00C629C1">
      <w:pPr>
        <w:spacing w:after="0" w:line="240" w:lineRule="auto"/>
      </w:pPr>
      <w:r>
        <w:separator/>
      </w:r>
    </w:p>
  </w:footnote>
  <w:footnote w:type="continuationSeparator" w:id="0">
    <w:p w14:paraId="47F138AA" w14:textId="77777777" w:rsidR="00C629C1" w:rsidRDefault="00C6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9A72" w14:textId="77777777" w:rsidR="001B157B" w:rsidRDefault="00CF4FA3" w:rsidP="001B157B">
    <w:pPr>
      <w:pStyle w:val="Header"/>
      <w:jc w:val="right"/>
    </w:pPr>
  </w:p>
  <w:p w14:paraId="65E727F5" w14:textId="531E8236" w:rsidR="001B157B" w:rsidRDefault="00216F57" w:rsidP="00C7722E">
    <w:pPr>
      <w:pStyle w:val="Header"/>
      <w:jc w:val="right"/>
    </w:pPr>
    <w:r>
      <w:t xml:space="preserve">Updated: </w:t>
    </w:r>
    <w:r w:rsidR="00877170">
      <w:t xml:space="preserve">1 </w:t>
    </w:r>
    <w:r w:rsidR="00DF21DA">
      <w:t>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702"/>
    <w:multiLevelType w:val="multilevel"/>
    <w:tmpl w:val="DA2C4D0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14373D2"/>
    <w:multiLevelType w:val="hybridMultilevel"/>
    <w:tmpl w:val="8B62A418"/>
    <w:lvl w:ilvl="0" w:tplc="08090001">
      <w:start w:val="1"/>
      <w:numFmt w:val="bullet"/>
      <w:lvlText w:val=""/>
      <w:lvlJc w:val="left"/>
      <w:pPr>
        <w:ind w:left="1600" w:hanging="360"/>
      </w:pPr>
      <w:rPr>
        <w:rFonts w:ascii="Symbol" w:hAnsi="Symbol" w:hint="default"/>
        <w:w w:val="100"/>
        <w:sz w:val="24"/>
        <w:szCs w:val="24"/>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052D3"/>
    <w:multiLevelType w:val="hybridMultilevel"/>
    <w:tmpl w:val="460472FC"/>
    <w:lvl w:ilvl="0" w:tplc="087AB4D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8866FA"/>
    <w:multiLevelType w:val="hybridMultilevel"/>
    <w:tmpl w:val="8CEE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364E1616"/>
    <w:multiLevelType w:val="hybridMultilevel"/>
    <w:tmpl w:val="FF24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D3499"/>
    <w:multiLevelType w:val="hybridMultilevel"/>
    <w:tmpl w:val="2F80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4174145"/>
    <w:multiLevelType w:val="hybridMultilevel"/>
    <w:tmpl w:val="6B9E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63084"/>
    <w:multiLevelType w:val="hybridMultilevel"/>
    <w:tmpl w:val="EB6E8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86773"/>
    <w:multiLevelType w:val="hybridMultilevel"/>
    <w:tmpl w:val="C374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1690A"/>
    <w:multiLevelType w:val="hybridMultilevel"/>
    <w:tmpl w:val="D206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1"/>
  </w:num>
  <w:num w:numId="6">
    <w:abstractNumId w:val="9"/>
  </w:num>
  <w:num w:numId="7">
    <w:abstractNumId w:val="5"/>
  </w:num>
  <w:num w:numId="8">
    <w:abstractNumId w:val="11"/>
  </w:num>
  <w:num w:numId="9">
    <w:abstractNumId w:val="0"/>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6"/>
    <w:rsid w:val="00001F79"/>
    <w:rsid w:val="00002CFA"/>
    <w:rsid w:val="00025761"/>
    <w:rsid w:val="00044ACD"/>
    <w:rsid w:val="000536A9"/>
    <w:rsid w:val="00054A3F"/>
    <w:rsid w:val="00070E41"/>
    <w:rsid w:val="000A0FF5"/>
    <w:rsid w:val="000A1406"/>
    <w:rsid w:val="000A7BF5"/>
    <w:rsid w:val="000B1769"/>
    <w:rsid w:val="000B2331"/>
    <w:rsid w:val="000B6876"/>
    <w:rsid w:val="000B7B86"/>
    <w:rsid w:val="000C6A5E"/>
    <w:rsid w:val="000D26F5"/>
    <w:rsid w:val="000D2B87"/>
    <w:rsid w:val="000D7CE2"/>
    <w:rsid w:val="000E63C8"/>
    <w:rsid w:val="001019ED"/>
    <w:rsid w:val="0010417D"/>
    <w:rsid w:val="00104FA4"/>
    <w:rsid w:val="00112308"/>
    <w:rsid w:val="001127A5"/>
    <w:rsid w:val="00131B97"/>
    <w:rsid w:val="001359E0"/>
    <w:rsid w:val="00165172"/>
    <w:rsid w:val="00180DA6"/>
    <w:rsid w:val="00190C1F"/>
    <w:rsid w:val="001932D1"/>
    <w:rsid w:val="001950B0"/>
    <w:rsid w:val="001C1472"/>
    <w:rsid w:val="001E61FA"/>
    <w:rsid w:val="001F281C"/>
    <w:rsid w:val="001F503E"/>
    <w:rsid w:val="00211C10"/>
    <w:rsid w:val="00216772"/>
    <w:rsid w:val="00216F57"/>
    <w:rsid w:val="00217A09"/>
    <w:rsid w:val="002251E3"/>
    <w:rsid w:val="00241F12"/>
    <w:rsid w:val="00242216"/>
    <w:rsid w:val="002759BF"/>
    <w:rsid w:val="00284825"/>
    <w:rsid w:val="00290662"/>
    <w:rsid w:val="002C7C56"/>
    <w:rsid w:val="002E463E"/>
    <w:rsid w:val="002F07BE"/>
    <w:rsid w:val="00300B14"/>
    <w:rsid w:val="00307F8D"/>
    <w:rsid w:val="00311E0F"/>
    <w:rsid w:val="003261A0"/>
    <w:rsid w:val="00341157"/>
    <w:rsid w:val="00362483"/>
    <w:rsid w:val="00366404"/>
    <w:rsid w:val="003953BD"/>
    <w:rsid w:val="003968F1"/>
    <w:rsid w:val="003A69AC"/>
    <w:rsid w:val="003B3A81"/>
    <w:rsid w:val="003C74E6"/>
    <w:rsid w:val="00407D75"/>
    <w:rsid w:val="00410AF6"/>
    <w:rsid w:val="004111FE"/>
    <w:rsid w:val="00420B95"/>
    <w:rsid w:val="00422566"/>
    <w:rsid w:val="004229DE"/>
    <w:rsid w:val="00426E44"/>
    <w:rsid w:val="00427F61"/>
    <w:rsid w:val="004306BF"/>
    <w:rsid w:val="00441063"/>
    <w:rsid w:val="00443DF5"/>
    <w:rsid w:val="00450A16"/>
    <w:rsid w:val="00453210"/>
    <w:rsid w:val="00465A66"/>
    <w:rsid w:val="004765D5"/>
    <w:rsid w:val="00487C19"/>
    <w:rsid w:val="004A12E6"/>
    <w:rsid w:val="004A2FC0"/>
    <w:rsid w:val="004D5C62"/>
    <w:rsid w:val="004F0EF9"/>
    <w:rsid w:val="00501A56"/>
    <w:rsid w:val="005204C5"/>
    <w:rsid w:val="00540076"/>
    <w:rsid w:val="005446A6"/>
    <w:rsid w:val="00544FBF"/>
    <w:rsid w:val="00553115"/>
    <w:rsid w:val="0057313A"/>
    <w:rsid w:val="0059520C"/>
    <w:rsid w:val="005A0364"/>
    <w:rsid w:val="005A5298"/>
    <w:rsid w:val="005B05BC"/>
    <w:rsid w:val="005B7002"/>
    <w:rsid w:val="005E2625"/>
    <w:rsid w:val="005E5651"/>
    <w:rsid w:val="005F7907"/>
    <w:rsid w:val="0060571C"/>
    <w:rsid w:val="006403EE"/>
    <w:rsid w:val="006460BA"/>
    <w:rsid w:val="0065085B"/>
    <w:rsid w:val="006525C3"/>
    <w:rsid w:val="006565F6"/>
    <w:rsid w:val="006746FB"/>
    <w:rsid w:val="0068318A"/>
    <w:rsid w:val="00683D86"/>
    <w:rsid w:val="006B68D6"/>
    <w:rsid w:val="006B796E"/>
    <w:rsid w:val="006C147F"/>
    <w:rsid w:val="006C6DFA"/>
    <w:rsid w:val="006D73C7"/>
    <w:rsid w:val="006E64D2"/>
    <w:rsid w:val="006E6C7E"/>
    <w:rsid w:val="00711FB5"/>
    <w:rsid w:val="00714764"/>
    <w:rsid w:val="00715F5B"/>
    <w:rsid w:val="0071617F"/>
    <w:rsid w:val="0072016F"/>
    <w:rsid w:val="007240E1"/>
    <w:rsid w:val="0073426B"/>
    <w:rsid w:val="00751E70"/>
    <w:rsid w:val="00753AF2"/>
    <w:rsid w:val="00762079"/>
    <w:rsid w:val="00762AC8"/>
    <w:rsid w:val="0076460D"/>
    <w:rsid w:val="00772367"/>
    <w:rsid w:val="00775CFB"/>
    <w:rsid w:val="00776DEF"/>
    <w:rsid w:val="007910E9"/>
    <w:rsid w:val="00792886"/>
    <w:rsid w:val="007A02A8"/>
    <w:rsid w:val="007B0DAA"/>
    <w:rsid w:val="007C0BFD"/>
    <w:rsid w:val="007C56B5"/>
    <w:rsid w:val="007E2804"/>
    <w:rsid w:val="00817FBD"/>
    <w:rsid w:val="00855B64"/>
    <w:rsid w:val="00865741"/>
    <w:rsid w:val="00872E78"/>
    <w:rsid w:val="00877170"/>
    <w:rsid w:val="008832EA"/>
    <w:rsid w:val="00894D78"/>
    <w:rsid w:val="0089540D"/>
    <w:rsid w:val="008B1542"/>
    <w:rsid w:val="008B414D"/>
    <w:rsid w:val="008C2648"/>
    <w:rsid w:val="008C6025"/>
    <w:rsid w:val="008D0B55"/>
    <w:rsid w:val="008D6520"/>
    <w:rsid w:val="008E3AEA"/>
    <w:rsid w:val="008E6C15"/>
    <w:rsid w:val="009031EE"/>
    <w:rsid w:val="0090332C"/>
    <w:rsid w:val="009352CF"/>
    <w:rsid w:val="00941B31"/>
    <w:rsid w:val="00956E53"/>
    <w:rsid w:val="00964528"/>
    <w:rsid w:val="00982FEF"/>
    <w:rsid w:val="009A3918"/>
    <w:rsid w:val="009B3D26"/>
    <w:rsid w:val="009B5F53"/>
    <w:rsid w:val="009D5844"/>
    <w:rsid w:val="009E1CAB"/>
    <w:rsid w:val="009F74D8"/>
    <w:rsid w:val="00A15443"/>
    <w:rsid w:val="00A17113"/>
    <w:rsid w:val="00A403BC"/>
    <w:rsid w:val="00A478E3"/>
    <w:rsid w:val="00A576FB"/>
    <w:rsid w:val="00A708EC"/>
    <w:rsid w:val="00A8106E"/>
    <w:rsid w:val="00AA37BC"/>
    <w:rsid w:val="00AA4DF3"/>
    <w:rsid w:val="00AB4DC6"/>
    <w:rsid w:val="00AC7D38"/>
    <w:rsid w:val="00AD6B6C"/>
    <w:rsid w:val="00B00885"/>
    <w:rsid w:val="00B01700"/>
    <w:rsid w:val="00B03D89"/>
    <w:rsid w:val="00B125C0"/>
    <w:rsid w:val="00B504C4"/>
    <w:rsid w:val="00B553A3"/>
    <w:rsid w:val="00B710CA"/>
    <w:rsid w:val="00B728D2"/>
    <w:rsid w:val="00B9239E"/>
    <w:rsid w:val="00B97B4B"/>
    <w:rsid w:val="00BA1915"/>
    <w:rsid w:val="00BA7563"/>
    <w:rsid w:val="00BB2E63"/>
    <w:rsid w:val="00BB5C30"/>
    <w:rsid w:val="00BC6191"/>
    <w:rsid w:val="00BD3FCF"/>
    <w:rsid w:val="00BF7F27"/>
    <w:rsid w:val="00C0145B"/>
    <w:rsid w:val="00C02780"/>
    <w:rsid w:val="00C32957"/>
    <w:rsid w:val="00C32C2E"/>
    <w:rsid w:val="00C471ED"/>
    <w:rsid w:val="00C478B3"/>
    <w:rsid w:val="00C629C1"/>
    <w:rsid w:val="00C661F1"/>
    <w:rsid w:val="00C66739"/>
    <w:rsid w:val="00C72834"/>
    <w:rsid w:val="00C7349F"/>
    <w:rsid w:val="00C8179B"/>
    <w:rsid w:val="00C8204E"/>
    <w:rsid w:val="00C827AC"/>
    <w:rsid w:val="00C8679D"/>
    <w:rsid w:val="00C94B94"/>
    <w:rsid w:val="00C9640B"/>
    <w:rsid w:val="00CA063E"/>
    <w:rsid w:val="00CA32CE"/>
    <w:rsid w:val="00CA4E14"/>
    <w:rsid w:val="00CA5487"/>
    <w:rsid w:val="00CB06BC"/>
    <w:rsid w:val="00CC42C9"/>
    <w:rsid w:val="00CC639C"/>
    <w:rsid w:val="00CD14E6"/>
    <w:rsid w:val="00CD56B3"/>
    <w:rsid w:val="00CE2687"/>
    <w:rsid w:val="00CF08B4"/>
    <w:rsid w:val="00CF4FA3"/>
    <w:rsid w:val="00D045C6"/>
    <w:rsid w:val="00D050E0"/>
    <w:rsid w:val="00D06CD1"/>
    <w:rsid w:val="00D1367A"/>
    <w:rsid w:val="00D212FB"/>
    <w:rsid w:val="00D26318"/>
    <w:rsid w:val="00D323D3"/>
    <w:rsid w:val="00D435F3"/>
    <w:rsid w:val="00D45CD5"/>
    <w:rsid w:val="00D715BE"/>
    <w:rsid w:val="00D82333"/>
    <w:rsid w:val="00D97D4F"/>
    <w:rsid w:val="00DA708E"/>
    <w:rsid w:val="00DB4BF6"/>
    <w:rsid w:val="00DB70BF"/>
    <w:rsid w:val="00DB7F9A"/>
    <w:rsid w:val="00DC7805"/>
    <w:rsid w:val="00DF15A1"/>
    <w:rsid w:val="00DF21DA"/>
    <w:rsid w:val="00DF4F7A"/>
    <w:rsid w:val="00E116EA"/>
    <w:rsid w:val="00E12B9F"/>
    <w:rsid w:val="00E22B3C"/>
    <w:rsid w:val="00E23751"/>
    <w:rsid w:val="00E32BC3"/>
    <w:rsid w:val="00E35BCA"/>
    <w:rsid w:val="00E40F12"/>
    <w:rsid w:val="00E45C96"/>
    <w:rsid w:val="00E4633C"/>
    <w:rsid w:val="00E55207"/>
    <w:rsid w:val="00E66A1A"/>
    <w:rsid w:val="00E8027F"/>
    <w:rsid w:val="00E93509"/>
    <w:rsid w:val="00EB3DE2"/>
    <w:rsid w:val="00EF5412"/>
    <w:rsid w:val="00EF79CE"/>
    <w:rsid w:val="00F026D7"/>
    <w:rsid w:val="00F05330"/>
    <w:rsid w:val="00F11649"/>
    <w:rsid w:val="00F35213"/>
    <w:rsid w:val="00F35BF5"/>
    <w:rsid w:val="00F50B69"/>
    <w:rsid w:val="00F513C5"/>
    <w:rsid w:val="00F678D5"/>
    <w:rsid w:val="00F71061"/>
    <w:rsid w:val="00F72137"/>
    <w:rsid w:val="00F95895"/>
    <w:rsid w:val="00FB1F90"/>
    <w:rsid w:val="00FB21DD"/>
    <w:rsid w:val="00FB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1F16"/>
  <w15:chartTrackingRefBased/>
  <w15:docId w15:val="{55A57469-7422-45A2-84A7-879A673E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2E6"/>
    <w:pPr>
      <w:spacing w:after="120" w:line="264" w:lineRule="auto"/>
    </w:pPr>
    <w:rPr>
      <w:rFonts w:eastAsiaTheme="minorEastAsia"/>
      <w:sz w:val="21"/>
      <w:szCs w:val="21"/>
      <w:lang w:val="en-US"/>
    </w:rPr>
  </w:style>
  <w:style w:type="paragraph" w:styleId="Heading1">
    <w:name w:val="heading 1"/>
    <w:basedOn w:val="Normal"/>
    <w:next w:val="Normal"/>
    <w:link w:val="Heading1Char"/>
    <w:uiPriority w:val="9"/>
    <w:qFormat/>
    <w:rsid w:val="004A12E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4A12E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E6"/>
    <w:rPr>
      <w:rFonts w:asciiTheme="majorHAnsi" w:eastAsiaTheme="majorEastAsia" w:hAnsiTheme="majorHAnsi" w:cstheme="majorBidi"/>
      <w:color w:val="2F5496" w:themeColor="accent1" w:themeShade="BF"/>
      <w:sz w:val="36"/>
      <w:szCs w:val="36"/>
      <w:lang w:val="en-US"/>
    </w:rPr>
  </w:style>
  <w:style w:type="character" w:customStyle="1" w:styleId="Heading2Char">
    <w:name w:val="Heading 2 Char"/>
    <w:basedOn w:val="DefaultParagraphFont"/>
    <w:link w:val="Heading2"/>
    <w:uiPriority w:val="9"/>
    <w:rsid w:val="004A12E6"/>
    <w:rPr>
      <w:rFonts w:asciiTheme="majorHAnsi" w:eastAsiaTheme="majorEastAsia" w:hAnsiTheme="majorHAnsi" w:cstheme="majorBidi"/>
      <w:color w:val="2F5496" w:themeColor="accent1" w:themeShade="BF"/>
      <w:sz w:val="28"/>
      <w:szCs w:val="28"/>
      <w:lang w:val="en-US"/>
    </w:rPr>
  </w:style>
  <w:style w:type="paragraph" w:styleId="BodyText">
    <w:name w:val="Body Text"/>
    <w:basedOn w:val="Normal"/>
    <w:link w:val="BodyTextChar"/>
    <w:uiPriority w:val="1"/>
    <w:rsid w:val="004A12E6"/>
    <w:rPr>
      <w:rFonts w:ascii="Arial" w:eastAsia="Arial" w:hAnsi="Arial" w:cs="Arial"/>
      <w:sz w:val="24"/>
      <w:szCs w:val="24"/>
    </w:rPr>
  </w:style>
  <w:style w:type="character" w:customStyle="1" w:styleId="BodyTextChar">
    <w:name w:val="Body Text Char"/>
    <w:basedOn w:val="DefaultParagraphFont"/>
    <w:link w:val="BodyText"/>
    <w:uiPriority w:val="1"/>
    <w:rsid w:val="004A12E6"/>
    <w:rPr>
      <w:rFonts w:ascii="Arial" w:eastAsia="Arial" w:hAnsi="Arial" w:cs="Arial"/>
      <w:sz w:val="24"/>
      <w:szCs w:val="24"/>
      <w:lang w:val="en-US"/>
    </w:rPr>
  </w:style>
  <w:style w:type="paragraph" w:styleId="ListParagraph">
    <w:name w:val="List Paragraph"/>
    <w:basedOn w:val="Normal"/>
    <w:uiPriority w:val="34"/>
    <w:qFormat/>
    <w:rsid w:val="004A12E6"/>
    <w:pPr>
      <w:ind w:left="720"/>
      <w:contextualSpacing/>
    </w:pPr>
  </w:style>
  <w:style w:type="character" w:styleId="Hyperlink">
    <w:name w:val="Hyperlink"/>
    <w:basedOn w:val="DefaultParagraphFont"/>
    <w:uiPriority w:val="99"/>
    <w:unhideWhenUsed/>
    <w:rsid w:val="004A12E6"/>
    <w:rPr>
      <w:color w:val="0563C1" w:themeColor="hyperlink"/>
      <w:u w:val="single"/>
    </w:rPr>
  </w:style>
  <w:style w:type="paragraph" w:styleId="Title">
    <w:name w:val="Title"/>
    <w:basedOn w:val="Normal"/>
    <w:next w:val="Normal"/>
    <w:link w:val="TitleChar"/>
    <w:uiPriority w:val="10"/>
    <w:qFormat/>
    <w:rsid w:val="004A12E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4A12E6"/>
    <w:rPr>
      <w:rFonts w:asciiTheme="majorHAnsi" w:eastAsiaTheme="majorEastAsia" w:hAnsiTheme="majorHAnsi" w:cstheme="majorBidi"/>
      <w:color w:val="2F5496" w:themeColor="accent1" w:themeShade="BF"/>
      <w:spacing w:val="-7"/>
      <w:sz w:val="80"/>
      <w:szCs w:val="80"/>
      <w:lang w:val="en-US"/>
    </w:rPr>
  </w:style>
  <w:style w:type="paragraph" w:styleId="TOCHeading">
    <w:name w:val="TOC Heading"/>
    <w:basedOn w:val="Heading1"/>
    <w:next w:val="Normal"/>
    <w:uiPriority w:val="39"/>
    <w:unhideWhenUsed/>
    <w:qFormat/>
    <w:rsid w:val="004A12E6"/>
    <w:pPr>
      <w:outlineLvl w:val="9"/>
    </w:pPr>
  </w:style>
  <w:style w:type="paragraph" w:styleId="TOC1">
    <w:name w:val="toc 1"/>
    <w:basedOn w:val="Normal"/>
    <w:next w:val="Normal"/>
    <w:autoRedefine/>
    <w:uiPriority w:val="39"/>
    <w:unhideWhenUsed/>
    <w:rsid w:val="004A12E6"/>
    <w:pPr>
      <w:spacing w:after="100"/>
    </w:pPr>
  </w:style>
  <w:style w:type="character" w:styleId="CommentReference">
    <w:name w:val="annotation reference"/>
    <w:basedOn w:val="DefaultParagraphFont"/>
    <w:uiPriority w:val="99"/>
    <w:semiHidden/>
    <w:unhideWhenUsed/>
    <w:rsid w:val="004A12E6"/>
    <w:rPr>
      <w:sz w:val="16"/>
      <w:szCs w:val="16"/>
    </w:rPr>
  </w:style>
  <w:style w:type="paragraph" w:styleId="CommentText">
    <w:name w:val="annotation text"/>
    <w:basedOn w:val="Normal"/>
    <w:link w:val="CommentTextChar"/>
    <w:uiPriority w:val="99"/>
    <w:semiHidden/>
    <w:unhideWhenUsed/>
    <w:rsid w:val="004A12E6"/>
    <w:pPr>
      <w:spacing w:line="240" w:lineRule="auto"/>
    </w:pPr>
    <w:rPr>
      <w:sz w:val="20"/>
      <w:szCs w:val="20"/>
    </w:rPr>
  </w:style>
  <w:style w:type="character" w:customStyle="1" w:styleId="CommentTextChar">
    <w:name w:val="Comment Text Char"/>
    <w:basedOn w:val="DefaultParagraphFont"/>
    <w:link w:val="CommentText"/>
    <w:uiPriority w:val="99"/>
    <w:semiHidden/>
    <w:rsid w:val="004A12E6"/>
    <w:rPr>
      <w:rFonts w:eastAsiaTheme="minorEastAsia"/>
      <w:sz w:val="20"/>
      <w:szCs w:val="20"/>
      <w:lang w:val="en-US"/>
    </w:rPr>
  </w:style>
  <w:style w:type="paragraph" w:styleId="Header">
    <w:name w:val="header"/>
    <w:basedOn w:val="Normal"/>
    <w:link w:val="HeaderChar"/>
    <w:uiPriority w:val="99"/>
    <w:unhideWhenUsed/>
    <w:rsid w:val="004A1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2E6"/>
    <w:rPr>
      <w:rFonts w:eastAsiaTheme="minorEastAsia"/>
      <w:sz w:val="21"/>
      <w:szCs w:val="21"/>
      <w:lang w:val="en-US"/>
    </w:rPr>
  </w:style>
  <w:style w:type="paragraph" w:styleId="Footer">
    <w:name w:val="footer"/>
    <w:basedOn w:val="Normal"/>
    <w:link w:val="FooterChar"/>
    <w:uiPriority w:val="99"/>
    <w:unhideWhenUsed/>
    <w:rsid w:val="004A1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2E6"/>
    <w:rPr>
      <w:rFonts w:eastAsiaTheme="minorEastAsia"/>
      <w:sz w:val="21"/>
      <w:szCs w:val="21"/>
      <w:lang w:val="en-US"/>
    </w:rPr>
  </w:style>
  <w:style w:type="paragraph" w:styleId="BalloonText">
    <w:name w:val="Balloon Text"/>
    <w:basedOn w:val="Normal"/>
    <w:link w:val="BalloonTextChar"/>
    <w:uiPriority w:val="99"/>
    <w:semiHidden/>
    <w:unhideWhenUsed/>
    <w:rsid w:val="004A1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2E6"/>
    <w:rPr>
      <w:rFonts w:ascii="Segoe UI" w:eastAsiaTheme="minorEastAsia" w:hAnsi="Segoe UI" w:cs="Segoe UI"/>
      <w:sz w:val="18"/>
      <w:szCs w:val="18"/>
      <w:lang w:val="en-US"/>
    </w:rPr>
  </w:style>
  <w:style w:type="character" w:styleId="UnresolvedMention">
    <w:name w:val="Unresolved Mention"/>
    <w:basedOn w:val="DefaultParagraphFont"/>
    <w:uiPriority w:val="99"/>
    <w:unhideWhenUsed/>
    <w:rsid w:val="004306B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3D89"/>
    <w:rPr>
      <w:b/>
      <w:bCs/>
    </w:rPr>
  </w:style>
  <w:style w:type="character" w:customStyle="1" w:styleId="CommentSubjectChar">
    <w:name w:val="Comment Subject Char"/>
    <w:basedOn w:val="CommentTextChar"/>
    <w:link w:val="CommentSubject"/>
    <w:uiPriority w:val="99"/>
    <w:semiHidden/>
    <w:rsid w:val="00B03D89"/>
    <w:rPr>
      <w:rFonts w:eastAsiaTheme="minorEastAsia"/>
      <w:b/>
      <w:bCs/>
      <w:sz w:val="20"/>
      <w:szCs w:val="20"/>
      <w:lang w:val="en-US"/>
    </w:rPr>
  </w:style>
  <w:style w:type="character" w:styleId="FollowedHyperlink">
    <w:name w:val="FollowedHyperlink"/>
    <w:basedOn w:val="DefaultParagraphFont"/>
    <w:uiPriority w:val="99"/>
    <w:semiHidden/>
    <w:unhideWhenUsed/>
    <w:rsid w:val="00453210"/>
    <w:rPr>
      <w:color w:val="954F72" w:themeColor="followedHyperlink"/>
      <w:u w:val="single"/>
    </w:rPr>
  </w:style>
  <w:style w:type="character" w:styleId="Mention">
    <w:name w:val="Mention"/>
    <w:basedOn w:val="DefaultParagraphFont"/>
    <w:uiPriority w:val="99"/>
    <w:unhideWhenUsed/>
    <w:rsid w:val="00453210"/>
    <w:rPr>
      <w:color w:val="2B579A"/>
      <w:shd w:val="clear" w:color="auto" w:fill="E1DFDD"/>
    </w:rPr>
  </w:style>
  <w:style w:type="paragraph" w:customStyle="1" w:styleId="DfESOutNumbered">
    <w:name w:val="DfESOutNumbered"/>
    <w:basedOn w:val="Normal"/>
    <w:link w:val="DfESOutNumberedChar"/>
    <w:rsid w:val="00427F61"/>
    <w:pPr>
      <w:widowControl w:val="0"/>
      <w:numPr>
        <w:numId w:val="10"/>
      </w:numPr>
      <w:overflowPunct w:val="0"/>
      <w:autoSpaceDE w:val="0"/>
      <w:autoSpaceDN w:val="0"/>
      <w:adjustRightInd w:val="0"/>
      <w:spacing w:after="240" w:line="240" w:lineRule="auto"/>
      <w:textAlignment w:val="baseline"/>
    </w:pPr>
    <w:rPr>
      <w:rFonts w:ascii="Arial" w:eastAsia="Times New Roman" w:hAnsi="Arial" w:cs="Arial"/>
      <w:sz w:val="22"/>
      <w:szCs w:val="20"/>
      <w:lang w:val="en-GB"/>
    </w:rPr>
  </w:style>
  <w:style w:type="character" w:customStyle="1" w:styleId="DfESOutNumberedChar">
    <w:name w:val="DfESOutNumbered Char"/>
    <w:basedOn w:val="TitleChar"/>
    <w:link w:val="DfESOutNumbered"/>
    <w:rsid w:val="00427F61"/>
    <w:rPr>
      <w:rFonts w:ascii="Arial" w:eastAsia="Times New Roman" w:hAnsi="Arial" w:cs="Arial"/>
      <w:color w:val="2F5496" w:themeColor="accent1" w:themeShade="BF"/>
      <w:spacing w:val="-7"/>
      <w:sz w:val="80"/>
      <w:szCs w:val="20"/>
      <w:lang w:val="en-US"/>
    </w:rPr>
  </w:style>
  <w:style w:type="paragraph" w:customStyle="1" w:styleId="DeptBullets">
    <w:name w:val="DeptBullets"/>
    <w:basedOn w:val="Normal"/>
    <w:link w:val="DeptBulletsChar"/>
    <w:rsid w:val="00427F61"/>
    <w:pPr>
      <w:widowControl w:val="0"/>
      <w:numPr>
        <w:numId w:val="12"/>
      </w:numPr>
      <w:overflowPunct w:val="0"/>
      <w:autoSpaceDE w:val="0"/>
      <w:autoSpaceDN w:val="0"/>
      <w:adjustRightInd w:val="0"/>
      <w:spacing w:after="240" w:line="240" w:lineRule="auto"/>
      <w:textAlignment w:val="baseline"/>
    </w:pPr>
    <w:rPr>
      <w:rFonts w:ascii="Arial" w:eastAsia="Times New Roman" w:hAnsi="Arial" w:cs="Times New Roman"/>
      <w:sz w:val="24"/>
      <w:szCs w:val="20"/>
      <w:lang w:val="en-GB"/>
    </w:rPr>
  </w:style>
  <w:style w:type="character" w:customStyle="1" w:styleId="DeptBulletsChar">
    <w:name w:val="DeptBullets Char"/>
    <w:basedOn w:val="TitleChar"/>
    <w:link w:val="DeptBullets"/>
    <w:rsid w:val="00427F61"/>
    <w:rPr>
      <w:rFonts w:ascii="Arial" w:eastAsia="Times New Roman" w:hAnsi="Arial" w:cs="Times New Roman"/>
      <w:color w:val="2F5496" w:themeColor="accent1" w:themeShade="BF"/>
      <w:spacing w:val="-7"/>
      <w:sz w:val="24"/>
      <w:szCs w:val="20"/>
      <w:lang w:val="en-US"/>
    </w:rPr>
  </w:style>
  <w:style w:type="paragraph" w:styleId="TOC2">
    <w:name w:val="toc 2"/>
    <w:basedOn w:val="Normal"/>
    <w:next w:val="Normal"/>
    <w:autoRedefine/>
    <w:uiPriority w:val="39"/>
    <w:unhideWhenUsed/>
    <w:rsid w:val="00DF21DA"/>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uk/uksi/2017/1306/contents/made" TargetMode="External"/><Relationship Id="rId18" Type="http://schemas.openxmlformats.org/officeDocument/2006/relationships/hyperlink" Target="https://www.gov.uk/courts-tribunals/first-tier-tribunal-special-educational-needs-and-disability" TargetMode="External"/><Relationship Id="rId26" Type="http://schemas.openxmlformats.org/officeDocument/2006/relationships/hyperlink" Target="https://www.sendpathfinder.co.uk/single-route-of-redress"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398815/SEND_Code_of_Practice_January_2015.pdf"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courts-tribunals/first-tier-tribunal-special-educational-needs-and-disability" TargetMode="External"/><Relationship Id="rId25" Type="http://schemas.openxmlformats.org/officeDocument/2006/relationships/hyperlink" Target="https://www.sendpathfinder.co.uk/expense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courts-tribunals/first-tier-tribunal-special-educational-needs-and-disability" TargetMode="External"/><Relationship Id="rId20" Type="http://schemas.openxmlformats.org/officeDocument/2006/relationships/hyperlink" Target="https://www.gov.uk/courts-tribunals/first-tier-tribunal-special-educational-needs-and-disability" TargetMode="External"/><Relationship Id="rId29" Type="http://schemas.openxmlformats.org/officeDocument/2006/relationships/hyperlink" Target="https://www.sendpathfinder.co.uk/send-disagreement-resolu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extended-powers-send-tribunal-national-trial" TargetMode="External"/><Relationship Id="rId32" Type="http://schemas.openxmlformats.org/officeDocument/2006/relationships/hyperlink" Target="https://www.sendpathfinder.co.uk/send-disagreement-resolution" TargetMode="External"/><Relationship Id="rId5" Type="http://schemas.openxmlformats.org/officeDocument/2006/relationships/customXml" Target="../customXml/item5.xml"/><Relationship Id="rId15" Type="http://schemas.openxmlformats.org/officeDocument/2006/relationships/hyperlink" Target="https://www.ombudsman.org.uk/" TargetMode="External"/><Relationship Id="rId23" Type="http://schemas.openxmlformats.org/officeDocument/2006/relationships/hyperlink" Target="https://www.sendpathfinder.co.uk/single-route-of-redress" TargetMode="External"/><Relationship Id="rId28" Type="http://schemas.openxmlformats.org/officeDocument/2006/relationships/hyperlink" Target="https://www.sendpathfinder.co.uk/send-complaints-a-guide-for-young-people-in-education"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courts-tribunals/first-tier-tribunal-special-educational-needs-and-disability" TargetMode="External"/><Relationship Id="rId31" Type="http://schemas.openxmlformats.org/officeDocument/2006/relationships/hyperlink" Target="https://www.sendpathfinder.co.uk/events-materials-and-resour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go.org.uk/" TargetMode="External"/><Relationship Id="rId22" Type="http://schemas.openxmlformats.org/officeDocument/2006/relationships/hyperlink" Target="https://www.gov.uk/guidance/hmcts-telephone-and-video-hearings-during-coronavirus-outbreak" TargetMode="External"/><Relationship Id="rId27" Type="http://schemas.openxmlformats.org/officeDocument/2006/relationships/hyperlink" Target="https://www.gov.uk/courts-tribunals/first-tier-tribunal-special-educational-needs-and-disability" TargetMode="External"/><Relationship Id="rId30" Type="http://schemas.openxmlformats.org/officeDocument/2006/relationships/hyperlink" Target="https://www.sendpathfinder.co.uk/send-disagreement-resolut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980b2c76-4eb4-4926-991a-bb246786b55e">
      <Terms xmlns="http://schemas.microsoft.com/office/infopath/2007/PartnerControls"/>
    </TaxKeywordTaxHTField>
    <LikesCount xmlns="http://schemas.microsoft.com/sharepoint/v3" xsi:nil="true"/>
    <MMSourceID xmlns="980b2c76-4eb4-4926-991a-bb246786b55e" xsi:nil="true"/>
    <Ratings xmlns="http://schemas.microsoft.com/sharepoint/v3" xsi:nil="true"/>
    <LastDateSharedToProjectMemory xmlns="980b2c76-4eb4-4926-991a-bb246786b55e" xsi:nil="true"/>
    <LikedBy xmlns="http://schemas.microsoft.com/sharepoint/v3">
      <UserInfo>
        <DisplayName/>
        <AccountId xsi:nil="true"/>
        <AccountType/>
      </UserInfo>
    </LikedBy>
    <LastVersionSharedToProjectMemory xmlns="980b2c76-4eb4-4926-991a-bb246786b55e" xsi:nil="true"/>
    <TaxCatchAll xmlns="980b2c76-4eb4-4926-991a-bb246786b55e"/>
    <RatedBy xmlns="http://schemas.microsoft.com/sharepoint/v3">
      <UserInfo>
        <DisplayName/>
        <AccountId xsi:nil="true"/>
        <AccountType/>
      </UserInfo>
    </RatedBy>
    <_dlc_DocId xmlns="980b2c76-4eb4-4926-991a-bb246786b55e">100100735-588954226-244328</_dlc_DocId>
    <_dlc_DocIdUrl xmlns="980b2c76-4eb4-4926-991a-bb246786b55e">
      <Url>https://mottmac.sharepoint.com/teams/pj-f0479/_layouts/15/DocIdRedir.aspx?ID=100100735-588954226-244328</Url>
      <Description>100100735-588954226-244328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864971D297CB3C44861FD5CE88985A00" ma:contentTypeVersion="7" ma:contentTypeDescription="Base content type for project documents" ma:contentTypeScope="" ma:versionID="1a8d7d5cf34bc6bac88af2e5eb6f307d">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01ed843f61c1cad455f38698e686e92f"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LastDateSharedToProjectMemory" minOccurs="0"/>
                <xsd:element ref="ns2:LastVersionSharedToProjectMemory" minOccurs="0"/>
                <xsd:element ref="ns2:MMSour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9861755-5677-4bef-858e-f891c79be0c9}" ma:internalName="TaxCatchAll" ma:showField="CatchAllData" ma:web="b20b7e23-ae28-4af0-83c1-a4f5f6cc239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9861755-5677-4bef-858e-f891c79be0c9}" ma:internalName="TaxCatchAllLabel" ma:readOnly="true" ma:showField="CatchAllDataLabel" ma:web="b20b7e23-ae28-4af0-83c1-a4f5f6cc239b">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LastDateSharedToProjectMemory" ma:index="21" nillable="true" ma:displayName="Last Shared To Project Memory" ma:format="DateTime" ma:internalName="LastDateSharedToProjectMemory" ma:readOnly="false">
      <xsd:simpleType>
        <xsd:restriction base="dms:DateTime"/>
      </xsd:simpleType>
    </xsd:element>
    <xsd:element name="LastVersionSharedToProjectMemory" ma:index="22" nillable="true" ma:displayName="Last Version Shared To Project Memory" ma:internalName="LastVersionSharedToProjectMemory" ma:readOnly="false">
      <xsd:simpleType>
        <xsd:restriction base="dms:Text">
          <xsd:maxLength value="255"/>
        </xsd:restriction>
      </xsd:simpleType>
    </xsd:element>
    <xsd:element name="MMSourceID" ma:index="23" nillable="true" ma:displayName="MM Source ID" ma:description="Used for source searches" ma:hidden="true" ma:internalName="MMSource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bee4c5c-8f43-4f7f-9637-07f983ecca3d" ContentTypeId="0x0101007BD61AFCC8A643B8924AB3F7EE18260102" PreviousValue="false"/>
</file>

<file path=customXml/itemProps1.xml><?xml version="1.0" encoding="utf-8"?>
<ds:datastoreItem xmlns:ds="http://schemas.openxmlformats.org/officeDocument/2006/customXml" ds:itemID="{3040AFEC-5AEA-42A0-82FE-A49A26302CB8}">
  <ds:schemaRefs>
    <ds:schemaRef ds:uri="http://schemas.microsoft.com/office/2006/metadata/properties"/>
    <ds:schemaRef ds:uri="http://schemas.microsoft.com/office/infopath/2007/PartnerControls"/>
    <ds:schemaRef ds:uri="d297891c-b1a0-4124-8992-1c63fedc90d2"/>
    <ds:schemaRef ds:uri="980b2c76-4eb4-4926-991a-bb246786b55e"/>
    <ds:schemaRef ds:uri="http://schemas.microsoft.com/sharepoint/v3"/>
  </ds:schemaRefs>
</ds:datastoreItem>
</file>

<file path=customXml/itemProps2.xml><?xml version="1.0" encoding="utf-8"?>
<ds:datastoreItem xmlns:ds="http://schemas.openxmlformats.org/officeDocument/2006/customXml" ds:itemID="{C1B398FB-EDF4-41B3-91EE-A081D4D23398}">
  <ds:schemaRefs>
    <ds:schemaRef ds:uri="http://schemas.microsoft.com/sharepoint/v3/contenttype/forms"/>
  </ds:schemaRefs>
</ds:datastoreItem>
</file>

<file path=customXml/itemProps3.xml><?xml version="1.0" encoding="utf-8"?>
<ds:datastoreItem xmlns:ds="http://schemas.openxmlformats.org/officeDocument/2006/customXml" ds:itemID="{BECBEFCF-8A10-4771-90AB-1CB294323E6F}">
  <ds:schemaRefs>
    <ds:schemaRef ds:uri="http://schemas.openxmlformats.org/officeDocument/2006/bibliography"/>
  </ds:schemaRefs>
</ds:datastoreItem>
</file>

<file path=customXml/itemProps4.xml><?xml version="1.0" encoding="utf-8"?>
<ds:datastoreItem xmlns:ds="http://schemas.openxmlformats.org/officeDocument/2006/customXml" ds:itemID="{E2FFF3CC-A273-4CFA-B46D-2AF22512D46D}">
  <ds:schemaRefs>
    <ds:schemaRef ds:uri="http://schemas.microsoft.com/sharepoint/events"/>
  </ds:schemaRefs>
</ds:datastoreItem>
</file>

<file path=customXml/itemProps5.xml><?xml version="1.0" encoding="utf-8"?>
<ds:datastoreItem xmlns:ds="http://schemas.openxmlformats.org/officeDocument/2006/customXml" ds:itemID="{7E849AA9-ED64-4994-A900-92047A1C4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E77339-8B64-4FBB-B336-23BCB5465B5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Stallard, Holly J</dc:creator>
  <cp:keywords/>
  <dc:description/>
  <cp:lastModifiedBy>Claire Pritchard</cp:lastModifiedBy>
  <cp:revision>2</cp:revision>
  <cp:lastPrinted>2020-11-16T19:02:00Z</cp:lastPrinted>
  <dcterms:created xsi:type="dcterms:W3CDTF">2021-10-12T14:44:00Z</dcterms:created>
  <dcterms:modified xsi:type="dcterms:W3CDTF">2021-10-12T14:44:00Z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0x0101007BD61AFCC8A643B8924AB3F7EE1826010200864971D297CB3C44861FD5CE88985A00</vt:lpwstr>
  </property>
  <property fmtid="{D5CDD505-2E9C-101B-9397-08002B2CF9AE}" pid="3" name="TaxKeyword">
    <vt:lpwstr/>
  </property>
  <property fmtid="{D5CDD505-2E9C-101B-9397-08002B2CF9AE}" pid="4" name="_dlc_DocIdItemGuid">
    <vt:lpwstr>c15c56d8-2959-4fc0-ad10-3cbdd85f5ada</vt:lpwstr>
  </property>
  <property fmtid="{D5CDD505-2E9C-101B-9397-08002B2CF9AE}" pid="5" name="Order">
    <vt:r8>23181200</vt:r8>
  </property>
  <property fmtid="{D5CDD505-2E9C-101B-9397-08002B2CF9AE}" pid="6" name="SharedWithUser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xd_Signature">
    <vt:bool>false</vt:bool>
  </property>
  <property fmtid="{D5CDD505-2E9C-101B-9397-08002B2CF9AE}" pid="12" name="SavedOnce">
    <vt:lpwstr>true</vt:lpwstr>
  </property>
</Properties>
</file>