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305" w:rsidRPr="008F2305" w:rsidRDefault="008F2305" w:rsidP="008F2305">
      <w:pPr>
        <w:rPr>
          <w:rFonts w:cs="Arial"/>
          <w:b/>
          <w:sz w:val="28"/>
          <w:szCs w:val="28"/>
        </w:rPr>
      </w:pPr>
      <w:r w:rsidRPr="008F2305">
        <w:rPr>
          <w:rFonts w:cs="Arial"/>
          <w:b/>
          <w:sz w:val="28"/>
          <w:szCs w:val="28"/>
        </w:rPr>
        <w:t>Single Central Record of Recruitment and Vetting Checks</w:t>
      </w:r>
    </w:p>
    <w:p w:rsidR="008F2305" w:rsidRPr="001A3E6B" w:rsidRDefault="008F2305" w:rsidP="008F2305">
      <w:pPr>
        <w:autoSpaceDE w:val="0"/>
        <w:autoSpaceDN w:val="0"/>
        <w:adjustRightInd w:val="0"/>
        <w:rPr>
          <w:rFonts w:ascii="MyriadMM" w:hAnsi="MyriadMM" w:cs="MyriadMM"/>
          <w:sz w:val="24"/>
          <w:szCs w:val="24"/>
          <w:lang w:eastAsia="en-GB"/>
        </w:rPr>
      </w:pPr>
    </w:p>
    <w:p w:rsidR="008F2305" w:rsidRPr="001A3E6B" w:rsidRDefault="008F2305" w:rsidP="008F2305">
      <w:pPr>
        <w:autoSpaceDE w:val="0"/>
        <w:autoSpaceDN w:val="0"/>
        <w:adjustRightInd w:val="0"/>
        <w:rPr>
          <w:rFonts w:ascii="MyriadMM" w:hAnsi="MyriadMM" w:cs="MyriadMM"/>
          <w:sz w:val="24"/>
          <w:szCs w:val="24"/>
          <w:lang w:eastAsia="en-GB"/>
        </w:rPr>
      </w:pPr>
      <w:r w:rsidRPr="001A3E6B">
        <w:rPr>
          <w:rFonts w:ascii="MyriadMM" w:hAnsi="MyriadMM" w:cs="MyriadMM"/>
          <w:sz w:val="24"/>
          <w:szCs w:val="24"/>
          <w:lang w:eastAsia="en-GB"/>
        </w:rPr>
        <w:t xml:space="preserve">In addition to the various staff records which are kept as part of normal business, schools </w:t>
      </w:r>
      <w:r w:rsidRPr="001A3E6B">
        <w:rPr>
          <w:rFonts w:ascii="MyriadMM" w:hAnsi="MyriadMM" w:cs="MyriadMM"/>
          <w:b/>
          <w:sz w:val="24"/>
          <w:szCs w:val="24"/>
          <w:lang w:eastAsia="en-GB"/>
        </w:rPr>
        <w:t xml:space="preserve">must </w:t>
      </w:r>
      <w:r w:rsidRPr="001A3E6B">
        <w:rPr>
          <w:rFonts w:ascii="MyriadMM" w:hAnsi="MyriadMM" w:cs="MyriadMM"/>
          <w:sz w:val="24"/>
          <w:szCs w:val="24"/>
          <w:lang w:eastAsia="en-GB"/>
        </w:rPr>
        <w:t>also keep and maintain a single central record of recruitment and vetting checks.</w:t>
      </w:r>
    </w:p>
    <w:p w:rsidR="008F2305" w:rsidRPr="001A3E6B" w:rsidRDefault="008F2305" w:rsidP="008F2305">
      <w:pPr>
        <w:autoSpaceDE w:val="0"/>
        <w:autoSpaceDN w:val="0"/>
        <w:adjustRightInd w:val="0"/>
        <w:rPr>
          <w:rFonts w:ascii="MyriadMMSemiBold" w:hAnsi="MyriadMMSemiBold" w:cs="MyriadMMSemiBold"/>
          <w:b/>
          <w:bCs/>
          <w:sz w:val="24"/>
          <w:szCs w:val="24"/>
          <w:lang w:eastAsia="en-GB"/>
        </w:rPr>
      </w:pPr>
    </w:p>
    <w:p w:rsidR="008F2305" w:rsidRPr="001A3E6B" w:rsidRDefault="008F2305" w:rsidP="008F2305">
      <w:pPr>
        <w:autoSpaceDE w:val="0"/>
        <w:autoSpaceDN w:val="0"/>
        <w:adjustRightInd w:val="0"/>
        <w:rPr>
          <w:rFonts w:ascii="MyriadMM" w:hAnsi="MyriadMM" w:cs="MyriadMM"/>
          <w:sz w:val="24"/>
          <w:szCs w:val="24"/>
          <w:lang w:eastAsia="en-GB"/>
        </w:rPr>
      </w:pPr>
      <w:r w:rsidRPr="001A3E6B">
        <w:rPr>
          <w:rFonts w:ascii="MyriadMM" w:hAnsi="MyriadMM" w:cs="MyriadMM"/>
          <w:sz w:val="24"/>
          <w:szCs w:val="24"/>
          <w:lang w:eastAsia="en-GB"/>
        </w:rPr>
        <w:t xml:space="preserve">Schools </w:t>
      </w:r>
      <w:r w:rsidRPr="001A3E6B">
        <w:rPr>
          <w:rFonts w:ascii="MyriadMM" w:hAnsi="MyriadMM" w:cs="MyriadMM"/>
          <w:b/>
          <w:sz w:val="24"/>
          <w:szCs w:val="24"/>
          <w:lang w:eastAsia="en-GB"/>
        </w:rPr>
        <w:t xml:space="preserve">must </w:t>
      </w:r>
      <w:r w:rsidRPr="001A3E6B">
        <w:rPr>
          <w:rFonts w:ascii="MyriadMM" w:hAnsi="MyriadMM" w:cs="MyriadMM"/>
          <w:sz w:val="24"/>
          <w:szCs w:val="24"/>
          <w:lang w:eastAsia="en-GB"/>
        </w:rPr>
        <w:t>have a record of the following people:</w:t>
      </w:r>
    </w:p>
    <w:p w:rsidR="008F2305" w:rsidRPr="001A3E6B" w:rsidRDefault="008F2305" w:rsidP="008F2305">
      <w:pPr>
        <w:autoSpaceDE w:val="0"/>
        <w:autoSpaceDN w:val="0"/>
        <w:adjustRightInd w:val="0"/>
        <w:ind w:left="720" w:firstLine="720"/>
        <w:rPr>
          <w:rFonts w:ascii="Wingdings" w:hAnsi="Wingdings" w:cs="Wingdings"/>
          <w:sz w:val="16"/>
          <w:szCs w:val="16"/>
          <w:lang w:eastAsia="en-GB"/>
        </w:rPr>
      </w:pPr>
    </w:p>
    <w:p w:rsidR="008F2305" w:rsidRDefault="008F2305" w:rsidP="008F2305">
      <w:pPr>
        <w:numPr>
          <w:ilvl w:val="0"/>
          <w:numId w:val="2"/>
        </w:numPr>
        <w:autoSpaceDE w:val="0"/>
        <w:autoSpaceDN w:val="0"/>
        <w:adjustRightInd w:val="0"/>
        <w:rPr>
          <w:rFonts w:ascii="MyriadMM" w:hAnsi="MyriadMM" w:cs="MyriadMM"/>
          <w:sz w:val="24"/>
          <w:szCs w:val="24"/>
          <w:lang w:eastAsia="en-GB"/>
        </w:rPr>
      </w:pPr>
      <w:r w:rsidRPr="001A3E6B">
        <w:rPr>
          <w:rFonts w:ascii="MyriadMM" w:hAnsi="MyriadMM" w:cs="MyriadMM"/>
          <w:sz w:val="24"/>
          <w:szCs w:val="24"/>
          <w:lang w:eastAsia="en-GB"/>
        </w:rPr>
        <w:t>all staff who are employed to work at</w:t>
      </w:r>
      <w:r w:rsidRPr="001A3E6B">
        <w:rPr>
          <w:rFonts w:cs="Arial"/>
          <w:sz w:val="24"/>
          <w:szCs w:val="24"/>
          <w:lang w:eastAsia="en-GB"/>
        </w:rPr>
        <w:t xml:space="preserve"> </w:t>
      </w:r>
      <w:r w:rsidRPr="001A3E6B">
        <w:rPr>
          <w:rFonts w:ascii="MyriadMM" w:hAnsi="MyriadMM" w:cs="MyriadMM"/>
          <w:sz w:val="24"/>
          <w:szCs w:val="24"/>
          <w:lang w:eastAsia="en-GB"/>
        </w:rPr>
        <w:t>the school; and</w:t>
      </w:r>
    </w:p>
    <w:p w:rsidR="008F2305" w:rsidRDefault="008F2305" w:rsidP="008F2305">
      <w:pPr>
        <w:numPr>
          <w:ilvl w:val="0"/>
          <w:numId w:val="2"/>
        </w:numPr>
        <w:autoSpaceDE w:val="0"/>
        <w:autoSpaceDN w:val="0"/>
        <w:adjustRightInd w:val="0"/>
        <w:rPr>
          <w:rFonts w:ascii="MyriadMM" w:hAnsi="MyriadMM" w:cs="MyriadMM"/>
          <w:sz w:val="24"/>
          <w:szCs w:val="24"/>
          <w:lang w:eastAsia="en-GB"/>
        </w:rPr>
      </w:pPr>
      <w:proofErr w:type="gramStart"/>
      <w:r w:rsidRPr="001A3E6B">
        <w:rPr>
          <w:rFonts w:ascii="MyriadMM" w:hAnsi="MyriadMM" w:cs="MyriadMM"/>
          <w:sz w:val="24"/>
          <w:szCs w:val="24"/>
          <w:lang w:eastAsia="en-GB"/>
        </w:rPr>
        <w:t>all</w:t>
      </w:r>
      <w:proofErr w:type="gramEnd"/>
      <w:r w:rsidRPr="001A3E6B">
        <w:rPr>
          <w:rFonts w:ascii="MyriadMM" w:hAnsi="MyriadMM" w:cs="MyriadMM"/>
          <w:sz w:val="24"/>
          <w:szCs w:val="24"/>
          <w:lang w:eastAsia="en-GB"/>
        </w:rPr>
        <w:t xml:space="preserve"> staff who are employed as supply staff to the school whether employed directly by the school or local authority or through an agency.</w:t>
      </w:r>
    </w:p>
    <w:p w:rsidR="008F2305" w:rsidRPr="001A3E6B" w:rsidRDefault="008F2305" w:rsidP="008F2305">
      <w:pPr>
        <w:numPr>
          <w:ilvl w:val="0"/>
          <w:numId w:val="2"/>
        </w:numPr>
        <w:autoSpaceDE w:val="0"/>
        <w:autoSpaceDN w:val="0"/>
        <w:adjustRightInd w:val="0"/>
        <w:rPr>
          <w:rFonts w:ascii="MyriadMM" w:hAnsi="MyriadMM" w:cs="MyriadMM"/>
          <w:sz w:val="24"/>
          <w:szCs w:val="24"/>
          <w:lang w:eastAsia="en-GB"/>
        </w:rPr>
      </w:pPr>
      <w:r w:rsidRPr="001A3E6B">
        <w:rPr>
          <w:rFonts w:ascii="MyriadMM" w:hAnsi="MyriadMM" w:cs="MyriadMM"/>
          <w:sz w:val="24"/>
          <w:szCs w:val="24"/>
          <w:lang w:eastAsia="en-GB"/>
        </w:rPr>
        <w:t xml:space="preserve">The record should also include all others who have been chosen by the school to work in regular contact with children. This will cover volunteers, governors who also work as volunteers within the school, and people brought into the school to provide additional teaching or instruction for pupils but who are not staff members, e.g. a specialist sports coach or artist. </w:t>
      </w:r>
    </w:p>
    <w:p w:rsidR="008F2305" w:rsidRDefault="008F2305"/>
    <w:p w:rsidR="008F2305" w:rsidRPr="001A3E6B" w:rsidRDefault="008F2305" w:rsidP="008F2305">
      <w:pPr>
        <w:autoSpaceDE w:val="0"/>
        <w:autoSpaceDN w:val="0"/>
        <w:adjustRightInd w:val="0"/>
        <w:rPr>
          <w:rFonts w:ascii="MyriadMM" w:hAnsi="MyriadMM" w:cs="MyriadMM"/>
          <w:sz w:val="24"/>
          <w:szCs w:val="24"/>
          <w:lang w:eastAsia="en-GB"/>
        </w:rPr>
      </w:pPr>
      <w:r w:rsidRPr="001A3E6B">
        <w:rPr>
          <w:rFonts w:ascii="MyriadMM" w:hAnsi="MyriadMM" w:cs="MyriadMM"/>
          <w:sz w:val="24"/>
          <w:szCs w:val="24"/>
          <w:lang w:eastAsia="en-GB"/>
        </w:rPr>
        <w:t xml:space="preserve">For the purposes of creating the record of checks for </w:t>
      </w:r>
      <w:r w:rsidRPr="001A3E6B">
        <w:rPr>
          <w:rFonts w:ascii="MyriadMM" w:hAnsi="MyriadMM" w:cs="MyriadMM"/>
          <w:b/>
          <w:sz w:val="24"/>
          <w:szCs w:val="24"/>
          <w:lang w:eastAsia="en-GB"/>
        </w:rPr>
        <w:t>supply staff</w:t>
      </w:r>
      <w:r w:rsidRPr="001A3E6B">
        <w:rPr>
          <w:rFonts w:ascii="MyriadMM" w:hAnsi="MyriadMM" w:cs="MyriadMM"/>
          <w:sz w:val="24"/>
          <w:szCs w:val="24"/>
          <w:lang w:eastAsia="en-GB"/>
        </w:rPr>
        <w:t xml:space="preserve"> provided through a supply agency, the school will need written confirmation from the agency that it has satisfactorily completed the checks described</w:t>
      </w:r>
      <w:r w:rsidR="00F00215">
        <w:rPr>
          <w:rFonts w:ascii="MyriadMM" w:hAnsi="MyriadMM" w:cs="MyriadMM"/>
          <w:sz w:val="24"/>
          <w:szCs w:val="24"/>
          <w:lang w:eastAsia="en-GB"/>
        </w:rPr>
        <w:t xml:space="preserve"> in </w:t>
      </w:r>
      <w:r w:rsidR="00E22502">
        <w:rPr>
          <w:rFonts w:ascii="MyriadMM" w:hAnsi="MyriadMM" w:cs="MyriadMM"/>
          <w:sz w:val="24"/>
          <w:szCs w:val="24"/>
          <w:lang w:eastAsia="en-GB"/>
        </w:rPr>
        <w:t>the current version of “Keeping Children Safe in Education” statutory guidance (para 112)</w:t>
      </w:r>
      <w:r w:rsidRPr="001A3E6B">
        <w:rPr>
          <w:rFonts w:ascii="MyriadMM" w:hAnsi="MyriadMM" w:cs="MyriadMM"/>
          <w:sz w:val="24"/>
          <w:szCs w:val="24"/>
          <w:lang w:eastAsia="en-GB"/>
        </w:rPr>
        <w:t>. The school does not need to carry out or see the checks itself except where there i</w:t>
      </w:r>
      <w:r w:rsidR="00F00215">
        <w:rPr>
          <w:rFonts w:ascii="MyriadMM" w:hAnsi="MyriadMM" w:cs="MyriadMM"/>
          <w:sz w:val="24"/>
          <w:szCs w:val="24"/>
          <w:lang w:eastAsia="en-GB"/>
        </w:rPr>
        <w:t>s information contained in the DBS Check</w:t>
      </w:r>
      <w:r w:rsidRPr="001A3E6B">
        <w:rPr>
          <w:rFonts w:ascii="MyriadMM" w:hAnsi="MyriadMM" w:cs="MyriadMM"/>
          <w:sz w:val="24"/>
          <w:szCs w:val="24"/>
          <w:lang w:eastAsia="en-GB"/>
        </w:rPr>
        <w:t>. However, identity checks must be carried out by the school to confirm that the individual arriving at the school is the individual that the agency intends to refer to them.</w:t>
      </w:r>
    </w:p>
    <w:p w:rsidR="008F2305" w:rsidRPr="001A3E6B" w:rsidRDefault="008F2305" w:rsidP="008F2305">
      <w:pPr>
        <w:autoSpaceDE w:val="0"/>
        <w:autoSpaceDN w:val="0"/>
        <w:adjustRightInd w:val="0"/>
        <w:rPr>
          <w:rFonts w:ascii="MyriadMM" w:hAnsi="MyriadMM" w:cs="MyriadMM"/>
          <w:sz w:val="24"/>
          <w:szCs w:val="24"/>
          <w:lang w:eastAsia="en-GB"/>
        </w:rPr>
      </w:pPr>
    </w:p>
    <w:p w:rsidR="008F2305" w:rsidRPr="001A3E6B" w:rsidRDefault="008F2305" w:rsidP="008F2305">
      <w:pPr>
        <w:autoSpaceDE w:val="0"/>
        <w:autoSpaceDN w:val="0"/>
        <w:adjustRightInd w:val="0"/>
        <w:rPr>
          <w:rFonts w:ascii="MyriadMM" w:hAnsi="MyriadMM" w:cs="MyriadMM"/>
          <w:sz w:val="24"/>
          <w:szCs w:val="24"/>
          <w:lang w:eastAsia="en-GB"/>
        </w:rPr>
      </w:pPr>
      <w:r w:rsidRPr="001A3E6B">
        <w:rPr>
          <w:rFonts w:ascii="MyriadMM" w:hAnsi="MyriadMM" w:cs="MyriadMM"/>
          <w:sz w:val="24"/>
          <w:szCs w:val="24"/>
          <w:lang w:eastAsia="en-GB"/>
        </w:rPr>
        <w:t xml:space="preserve">The central record </w:t>
      </w:r>
      <w:r w:rsidRPr="001A3E6B">
        <w:rPr>
          <w:rFonts w:ascii="MyriadMM" w:hAnsi="MyriadMM" w:cs="MyriadMM"/>
          <w:b/>
          <w:sz w:val="24"/>
          <w:szCs w:val="24"/>
          <w:lang w:eastAsia="en-GB"/>
        </w:rPr>
        <w:t xml:space="preserve">must </w:t>
      </w:r>
      <w:r w:rsidRPr="001A3E6B">
        <w:rPr>
          <w:rFonts w:ascii="MyriadMM" w:hAnsi="MyriadMM" w:cs="MyriadMM"/>
          <w:sz w:val="24"/>
          <w:szCs w:val="24"/>
          <w:lang w:eastAsia="en-GB"/>
        </w:rPr>
        <w:t>indicate whether or not the following have been completed:</w:t>
      </w:r>
    </w:p>
    <w:p w:rsidR="008F2305" w:rsidRPr="001A3E6B" w:rsidRDefault="008F2305" w:rsidP="008F2305">
      <w:pPr>
        <w:autoSpaceDE w:val="0"/>
        <w:autoSpaceDN w:val="0"/>
        <w:adjustRightInd w:val="0"/>
        <w:ind w:left="1440"/>
        <w:rPr>
          <w:rFonts w:ascii="MyriadMM" w:hAnsi="MyriadMM" w:cs="MyriadMM"/>
          <w:sz w:val="24"/>
          <w:szCs w:val="24"/>
          <w:lang w:eastAsia="en-GB"/>
        </w:rPr>
      </w:pPr>
    </w:p>
    <w:p w:rsidR="00E22502" w:rsidRPr="00E22502" w:rsidRDefault="00E22502" w:rsidP="00E22502">
      <w:pPr>
        <w:pStyle w:val="ListParagraph"/>
        <w:numPr>
          <w:ilvl w:val="0"/>
          <w:numId w:val="3"/>
        </w:numPr>
        <w:autoSpaceDE w:val="0"/>
        <w:autoSpaceDN w:val="0"/>
        <w:adjustRightInd w:val="0"/>
        <w:ind w:left="567" w:hanging="567"/>
        <w:rPr>
          <w:rFonts w:ascii="MyriadMM" w:hAnsi="MyriadMM" w:cs="MyriadMM"/>
          <w:sz w:val="24"/>
          <w:szCs w:val="24"/>
          <w:lang w:eastAsia="en-GB"/>
        </w:rPr>
      </w:pPr>
      <w:r w:rsidRPr="00E22502">
        <w:rPr>
          <w:rFonts w:ascii="MyriadMM" w:hAnsi="MyriadMM" w:cs="MyriadMM"/>
          <w:sz w:val="24"/>
          <w:szCs w:val="24"/>
          <w:lang w:eastAsia="en-GB"/>
        </w:rPr>
        <w:t>an identity check;</w:t>
      </w:r>
    </w:p>
    <w:p w:rsidR="00E22502" w:rsidRPr="00E22502" w:rsidRDefault="00E22502" w:rsidP="00E22502">
      <w:pPr>
        <w:pStyle w:val="ListParagraph"/>
        <w:numPr>
          <w:ilvl w:val="0"/>
          <w:numId w:val="3"/>
        </w:numPr>
        <w:autoSpaceDE w:val="0"/>
        <w:autoSpaceDN w:val="0"/>
        <w:adjustRightInd w:val="0"/>
        <w:ind w:left="567" w:hanging="567"/>
        <w:rPr>
          <w:rFonts w:ascii="MyriadMM" w:hAnsi="MyriadMM" w:cs="MyriadMM"/>
          <w:sz w:val="24"/>
          <w:szCs w:val="24"/>
          <w:lang w:eastAsia="en-GB"/>
        </w:rPr>
      </w:pPr>
      <w:r w:rsidRPr="00E22502">
        <w:rPr>
          <w:rFonts w:ascii="MyriadMM" w:hAnsi="MyriadMM" w:cs="MyriadMM"/>
          <w:sz w:val="24"/>
          <w:szCs w:val="24"/>
          <w:lang w:eastAsia="en-GB"/>
        </w:rPr>
        <w:t>a barred list check;</w:t>
      </w:r>
    </w:p>
    <w:p w:rsidR="00E22502" w:rsidRPr="00E22502" w:rsidRDefault="00E22502" w:rsidP="00E22502">
      <w:pPr>
        <w:pStyle w:val="ListParagraph"/>
        <w:numPr>
          <w:ilvl w:val="0"/>
          <w:numId w:val="3"/>
        </w:numPr>
        <w:autoSpaceDE w:val="0"/>
        <w:autoSpaceDN w:val="0"/>
        <w:adjustRightInd w:val="0"/>
        <w:ind w:left="567" w:hanging="567"/>
        <w:rPr>
          <w:rFonts w:ascii="MyriadMM" w:hAnsi="MyriadMM" w:cs="MyriadMM"/>
          <w:sz w:val="24"/>
          <w:szCs w:val="24"/>
          <w:lang w:eastAsia="en-GB"/>
        </w:rPr>
      </w:pPr>
      <w:r w:rsidRPr="00E22502">
        <w:rPr>
          <w:rFonts w:ascii="MyriadMM" w:hAnsi="MyriadMM" w:cs="MyriadMM"/>
          <w:sz w:val="24"/>
          <w:szCs w:val="24"/>
          <w:lang w:eastAsia="en-GB"/>
        </w:rPr>
        <w:t xml:space="preserve">an enhanced DBS check/certificate; </w:t>
      </w:r>
    </w:p>
    <w:p w:rsidR="00E22502" w:rsidRPr="00E22502" w:rsidRDefault="00E22502" w:rsidP="00E22502">
      <w:pPr>
        <w:pStyle w:val="ListParagraph"/>
        <w:numPr>
          <w:ilvl w:val="0"/>
          <w:numId w:val="3"/>
        </w:numPr>
        <w:autoSpaceDE w:val="0"/>
        <w:autoSpaceDN w:val="0"/>
        <w:adjustRightInd w:val="0"/>
        <w:ind w:left="567" w:hanging="567"/>
        <w:rPr>
          <w:rFonts w:ascii="MyriadMM" w:hAnsi="MyriadMM" w:cs="MyriadMM"/>
          <w:sz w:val="24"/>
          <w:szCs w:val="24"/>
          <w:lang w:eastAsia="en-GB"/>
        </w:rPr>
      </w:pPr>
      <w:r w:rsidRPr="00E22502">
        <w:rPr>
          <w:rFonts w:ascii="MyriadMM" w:hAnsi="MyriadMM" w:cs="MyriadMM"/>
          <w:sz w:val="24"/>
          <w:szCs w:val="24"/>
          <w:lang w:eastAsia="en-GB"/>
        </w:rPr>
        <w:t>a prohibition from teaching check;</w:t>
      </w:r>
    </w:p>
    <w:p w:rsidR="00E22502" w:rsidRPr="00E22502" w:rsidRDefault="00E22502" w:rsidP="00E22502">
      <w:pPr>
        <w:pStyle w:val="ListParagraph"/>
        <w:numPr>
          <w:ilvl w:val="0"/>
          <w:numId w:val="3"/>
        </w:numPr>
        <w:autoSpaceDE w:val="0"/>
        <w:autoSpaceDN w:val="0"/>
        <w:adjustRightInd w:val="0"/>
        <w:ind w:left="567" w:hanging="567"/>
        <w:rPr>
          <w:rFonts w:ascii="MyriadMM" w:hAnsi="MyriadMM" w:cs="MyriadMM"/>
          <w:sz w:val="24"/>
          <w:szCs w:val="24"/>
          <w:lang w:eastAsia="en-GB"/>
        </w:rPr>
      </w:pPr>
      <w:r w:rsidRPr="00E22502">
        <w:rPr>
          <w:rFonts w:ascii="MyriadMM" w:hAnsi="MyriadMM" w:cs="MyriadMM"/>
          <w:sz w:val="24"/>
          <w:szCs w:val="24"/>
          <w:lang w:eastAsia="en-GB"/>
        </w:rPr>
        <w:t xml:space="preserve">further checks on people living or working outside the UK; </w:t>
      </w:r>
    </w:p>
    <w:p w:rsidR="00E22502" w:rsidRPr="00E22502" w:rsidRDefault="00E22502" w:rsidP="00E22502">
      <w:pPr>
        <w:pStyle w:val="ListParagraph"/>
        <w:numPr>
          <w:ilvl w:val="0"/>
          <w:numId w:val="3"/>
        </w:numPr>
        <w:autoSpaceDE w:val="0"/>
        <w:autoSpaceDN w:val="0"/>
        <w:adjustRightInd w:val="0"/>
        <w:ind w:left="567" w:hanging="567"/>
        <w:rPr>
          <w:rFonts w:ascii="MyriadMM" w:hAnsi="MyriadMM" w:cs="MyriadMM"/>
          <w:sz w:val="24"/>
          <w:szCs w:val="24"/>
          <w:lang w:eastAsia="en-GB"/>
        </w:rPr>
      </w:pPr>
      <w:r w:rsidRPr="00E22502">
        <w:rPr>
          <w:rFonts w:ascii="MyriadMM" w:hAnsi="MyriadMM" w:cs="MyriadMM"/>
          <w:sz w:val="24"/>
          <w:szCs w:val="24"/>
          <w:lang w:eastAsia="en-GB"/>
        </w:rPr>
        <w:t xml:space="preserve">a check of professional qualifications; and </w:t>
      </w:r>
    </w:p>
    <w:p w:rsidR="008F2305" w:rsidRPr="00E22502" w:rsidRDefault="00E22502" w:rsidP="00E22502">
      <w:pPr>
        <w:pStyle w:val="ListParagraph"/>
        <w:numPr>
          <w:ilvl w:val="0"/>
          <w:numId w:val="3"/>
        </w:numPr>
        <w:autoSpaceDE w:val="0"/>
        <w:autoSpaceDN w:val="0"/>
        <w:adjustRightInd w:val="0"/>
        <w:ind w:left="567" w:hanging="567"/>
        <w:rPr>
          <w:rFonts w:ascii="MyriadMM" w:hAnsi="MyriadMM" w:cs="MyriadMM"/>
          <w:sz w:val="24"/>
          <w:szCs w:val="24"/>
          <w:lang w:eastAsia="en-GB"/>
        </w:rPr>
      </w:pPr>
      <w:proofErr w:type="gramStart"/>
      <w:r w:rsidRPr="00E22502">
        <w:rPr>
          <w:rFonts w:ascii="MyriadMM" w:hAnsi="MyriadMM" w:cs="MyriadMM"/>
          <w:sz w:val="24"/>
          <w:szCs w:val="24"/>
          <w:lang w:eastAsia="en-GB"/>
        </w:rPr>
        <w:t>a</w:t>
      </w:r>
      <w:proofErr w:type="gramEnd"/>
      <w:r w:rsidRPr="00E22502">
        <w:rPr>
          <w:rFonts w:ascii="MyriadMM" w:hAnsi="MyriadMM" w:cs="MyriadMM"/>
          <w:sz w:val="24"/>
          <w:szCs w:val="24"/>
          <w:lang w:eastAsia="en-GB"/>
        </w:rPr>
        <w:t xml:space="preserve"> check to establish the person’s right to work in the United Kingdom.</w:t>
      </w:r>
    </w:p>
    <w:p w:rsidR="00E22502" w:rsidRDefault="00E22502" w:rsidP="008F2305">
      <w:pPr>
        <w:autoSpaceDE w:val="0"/>
        <w:autoSpaceDN w:val="0"/>
        <w:adjustRightInd w:val="0"/>
        <w:rPr>
          <w:rFonts w:ascii="MyriadMM" w:hAnsi="MyriadMM" w:cs="MyriadMM"/>
          <w:sz w:val="24"/>
          <w:szCs w:val="24"/>
          <w:lang w:eastAsia="en-GB"/>
        </w:rPr>
      </w:pPr>
    </w:p>
    <w:p w:rsidR="008F2305" w:rsidRPr="001A3E6B" w:rsidRDefault="008F2305" w:rsidP="008F2305">
      <w:pPr>
        <w:autoSpaceDE w:val="0"/>
        <w:autoSpaceDN w:val="0"/>
        <w:adjustRightInd w:val="0"/>
        <w:rPr>
          <w:rFonts w:ascii="MyriadMM" w:hAnsi="MyriadMM" w:cs="MyriadMM"/>
          <w:sz w:val="24"/>
          <w:szCs w:val="24"/>
          <w:lang w:eastAsia="en-GB"/>
        </w:rPr>
      </w:pPr>
      <w:r w:rsidRPr="001A3E6B">
        <w:rPr>
          <w:rFonts w:ascii="MyriadMM" w:hAnsi="MyriadMM" w:cs="MyriadMM"/>
          <w:sz w:val="24"/>
          <w:szCs w:val="24"/>
          <w:lang w:eastAsia="en-GB"/>
        </w:rPr>
        <w:t>The record must also show the date on which each check was completed or the relevant certificate obtained, and should show who carried out the check.</w:t>
      </w:r>
    </w:p>
    <w:p w:rsidR="008F2305" w:rsidRPr="001A3E6B" w:rsidRDefault="008F2305" w:rsidP="008F2305">
      <w:pPr>
        <w:autoSpaceDE w:val="0"/>
        <w:autoSpaceDN w:val="0"/>
        <w:adjustRightInd w:val="0"/>
        <w:ind w:left="1440"/>
        <w:rPr>
          <w:rFonts w:ascii="MyriadMM" w:hAnsi="MyriadMM" w:cs="MyriadMM"/>
          <w:sz w:val="24"/>
          <w:szCs w:val="24"/>
          <w:highlight w:val="yellow"/>
          <w:lang w:eastAsia="en-GB"/>
        </w:rPr>
      </w:pPr>
    </w:p>
    <w:p w:rsidR="001F16FF" w:rsidRDefault="001F16FF">
      <w:pPr>
        <w:rPr>
          <w:rFonts w:ascii="MyriadMM" w:hAnsi="MyriadMM" w:cs="MyriadMM"/>
          <w:sz w:val="24"/>
          <w:szCs w:val="24"/>
          <w:lang w:eastAsia="en-GB"/>
        </w:rPr>
      </w:pPr>
      <w:r>
        <w:rPr>
          <w:rFonts w:ascii="MyriadMM" w:hAnsi="MyriadMM" w:cs="MyriadMM"/>
          <w:sz w:val="24"/>
          <w:szCs w:val="24"/>
          <w:lang w:eastAsia="en-GB"/>
        </w:rPr>
        <w:br w:type="page"/>
      </w:r>
    </w:p>
    <w:p w:rsidR="009C4E52" w:rsidRDefault="009C4E52" w:rsidP="009C4E52">
      <w:pPr>
        <w:rPr>
          <w:rFonts w:ascii="MyriadMM" w:hAnsi="MyriadMM" w:cs="MyriadMM"/>
          <w:sz w:val="24"/>
          <w:szCs w:val="24"/>
          <w:lang w:eastAsia="en-GB"/>
        </w:rPr>
      </w:pPr>
      <w:bookmarkStart w:id="0" w:name="_GoBack"/>
      <w:bookmarkEnd w:id="0"/>
      <w:r w:rsidRPr="009C4E52">
        <w:rPr>
          <w:rFonts w:ascii="MyriadMM" w:hAnsi="MyriadMM" w:cs="MyriadMM"/>
          <w:sz w:val="24"/>
          <w:szCs w:val="24"/>
          <w:lang w:eastAsia="en-GB"/>
        </w:rPr>
        <w:lastRenderedPageBreak/>
        <w:t>For details of records that must be kept, see:</w:t>
      </w:r>
    </w:p>
    <w:p w:rsidR="009C4E52" w:rsidRPr="009C4E52" w:rsidRDefault="009C4E52" w:rsidP="009C4E52">
      <w:pPr>
        <w:rPr>
          <w:rFonts w:ascii="MyriadMM" w:hAnsi="MyriadMM" w:cs="MyriadMM"/>
          <w:sz w:val="24"/>
          <w:szCs w:val="24"/>
          <w:lang w:eastAsia="en-GB"/>
        </w:rPr>
      </w:pPr>
    </w:p>
    <w:p w:rsidR="009C4E52" w:rsidRPr="009C4E52" w:rsidRDefault="009C4E52" w:rsidP="009C4E52">
      <w:pPr>
        <w:pStyle w:val="ListParagraph"/>
        <w:numPr>
          <w:ilvl w:val="0"/>
          <w:numId w:val="4"/>
        </w:numPr>
        <w:tabs>
          <w:tab w:val="left" w:pos="567"/>
        </w:tabs>
        <w:ind w:left="567" w:hanging="567"/>
        <w:rPr>
          <w:rFonts w:ascii="MyriadMM" w:hAnsi="MyriadMM" w:cs="MyriadMM"/>
          <w:sz w:val="24"/>
          <w:szCs w:val="24"/>
          <w:lang w:eastAsia="en-GB"/>
        </w:rPr>
      </w:pPr>
      <w:r w:rsidRPr="009C4E52">
        <w:rPr>
          <w:rFonts w:ascii="MyriadMM" w:hAnsi="MyriadMM" w:cs="MyriadMM"/>
          <w:sz w:val="24"/>
          <w:szCs w:val="24"/>
          <w:lang w:eastAsia="en-GB"/>
        </w:rPr>
        <w:t>For maintained schools: Regulations 12(7) and 24(7) and Schedule 2 to the School Staffing (England) Regulations 2009 and the School Staffing (England) (Amendment) Regulations 2013 (applied to pupil referral units through the Education (Pupil Referral Units) (Application of Enactments) (England) Regulations 2007);</w:t>
      </w:r>
    </w:p>
    <w:p w:rsidR="009C4E52" w:rsidRPr="009C4E52" w:rsidRDefault="009C4E52" w:rsidP="009C4E52">
      <w:pPr>
        <w:pStyle w:val="ListParagraph"/>
        <w:numPr>
          <w:ilvl w:val="0"/>
          <w:numId w:val="4"/>
        </w:numPr>
        <w:tabs>
          <w:tab w:val="left" w:pos="567"/>
        </w:tabs>
        <w:ind w:left="567" w:hanging="567"/>
        <w:rPr>
          <w:rFonts w:ascii="MyriadMM" w:hAnsi="MyriadMM" w:cs="MyriadMM"/>
          <w:sz w:val="24"/>
          <w:szCs w:val="24"/>
          <w:lang w:eastAsia="en-GB"/>
        </w:rPr>
      </w:pPr>
      <w:r w:rsidRPr="009C4E52">
        <w:rPr>
          <w:rFonts w:ascii="MyriadMM" w:hAnsi="MyriadMM" w:cs="MyriadMM"/>
          <w:sz w:val="24"/>
          <w:szCs w:val="24"/>
          <w:lang w:eastAsia="en-GB"/>
        </w:rPr>
        <w:t>For independent schools, (including academies and free schools and alternative provision academies and free schools): Part 4 of the Schedule to the Education (Independent School Standards) Regulations 2014;</w:t>
      </w:r>
    </w:p>
    <w:p w:rsidR="008F2305" w:rsidRDefault="009C4E52" w:rsidP="009C4E52">
      <w:pPr>
        <w:pStyle w:val="ListParagraph"/>
        <w:numPr>
          <w:ilvl w:val="0"/>
          <w:numId w:val="4"/>
        </w:numPr>
        <w:tabs>
          <w:tab w:val="left" w:pos="567"/>
        </w:tabs>
        <w:ind w:left="567" w:hanging="567"/>
      </w:pPr>
      <w:r w:rsidRPr="009C4E52">
        <w:rPr>
          <w:rFonts w:ascii="MyriadMM" w:hAnsi="MyriadMM" w:cs="MyriadMM"/>
          <w:sz w:val="24"/>
          <w:szCs w:val="24"/>
          <w:lang w:eastAsia="en-GB"/>
        </w:rPr>
        <w:t>For non-maintained special schools: Regulation 3 and paragraph 7 of Part 1 and paragraph 18 of Part 2 of the Schedule to the Non-Maintained Special Schools (England) Regulations 2015.</w:t>
      </w:r>
    </w:p>
    <w:p w:rsidR="008F2305" w:rsidRDefault="008F2305"/>
    <w:p w:rsidR="008F2305" w:rsidRDefault="008F2305">
      <w:pPr>
        <w:sectPr w:rsidR="008F2305" w:rsidSect="00BB1BFD">
          <w:footerReference w:type="default" r:id="rId7"/>
          <w:pgSz w:w="11906" w:h="16838" w:code="9"/>
          <w:pgMar w:top="1440" w:right="1797" w:bottom="1440" w:left="1797" w:header="709" w:footer="709" w:gutter="0"/>
          <w:cols w:space="708"/>
          <w:docGrid w:linePitch="360"/>
        </w:sectPr>
      </w:pPr>
    </w:p>
    <w:p w:rsidR="00864B0C" w:rsidRPr="001A3E6B" w:rsidRDefault="00864B0C" w:rsidP="00864B0C">
      <w:pPr>
        <w:autoSpaceDE w:val="0"/>
        <w:autoSpaceDN w:val="0"/>
        <w:adjustRightInd w:val="0"/>
        <w:rPr>
          <w:rFonts w:ascii="MyriadMM" w:hAnsi="MyriadMM" w:cs="MyriadMM"/>
          <w:sz w:val="24"/>
          <w:szCs w:val="24"/>
          <w:lang w:eastAsia="en-GB"/>
        </w:rPr>
      </w:pPr>
      <w:r w:rsidRPr="001A3E6B">
        <w:rPr>
          <w:rFonts w:ascii="MyriadMM" w:hAnsi="MyriadMM" w:cs="MyriadMM"/>
          <w:sz w:val="24"/>
          <w:szCs w:val="24"/>
          <w:lang w:eastAsia="en-GB"/>
        </w:rPr>
        <w:lastRenderedPageBreak/>
        <w:t xml:space="preserve">Suggested format </w:t>
      </w:r>
      <w:r>
        <w:rPr>
          <w:rFonts w:ascii="MyriadMM" w:hAnsi="MyriadMM" w:cs="MyriadMM"/>
          <w:sz w:val="24"/>
          <w:szCs w:val="24"/>
          <w:lang w:eastAsia="en-GB"/>
        </w:rPr>
        <w:t xml:space="preserve">for the Single Central Record </w:t>
      </w:r>
      <w:r w:rsidRPr="001A3E6B">
        <w:rPr>
          <w:rFonts w:ascii="MyriadMM" w:hAnsi="MyriadMM" w:cs="MyriadMM"/>
          <w:sz w:val="24"/>
          <w:szCs w:val="24"/>
          <w:lang w:eastAsia="en-GB"/>
        </w:rPr>
        <w:t>is as follows:</w:t>
      </w:r>
    </w:p>
    <w:p w:rsidR="00864B0C" w:rsidRDefault="00864B0C" w:rsidP="008F2305">
      <w:pPr>
        <w:rPr>
          <w:rFonts w:cs="Arial"/>
          <w:b/>
          <w:sz w:val="28"/>
          <w:szCs w:val="28"/>
        </w:rPr>
      </w:pPr>
    </w:p>
    <w:p w:rsidR="00864B0C" w:rsidRDefault="00864B0C" w:rsidP="008F2305">
      <w:pPr>
        <w:rPr>
          <w:rFonts w:cs="Arial"/>
          <w:b/>
          <w:sz w:val="28"/>
          <w:szCs w:val="28"/>
        </w:rPr>
      </w:pPr>
    </w:p>
    <w:p w:rsidR="008F2305" w:rsidRPr="008F2305" w:rsidRDefault="008F2305" w:rsidP="008F2305">
      <w:pPr>
        <w:rPr>
          <w:rFonts w:cs="Arial"/>
          <w:b/>
          <w:sz w:val="28"/>
          <w:szCs w:val="28"/>
        </w:rPr>
      </w:pPr>
      <w:r w:rsidRPr="008F2305">
        <w:rPr>
          <w:rFonts w:cs="Arial"/>
          <w:b/>
          <w:sz w:val="28"/>
          <w:szCs w:val="28"/>
        </w:rPr>
        <w:t>Single Central Record of Recruitment and Vetting Checks</w:t>
      </w:r>
    </w:p>
    <w:p w:rsidR="008F2305" w:rsidRDefault="008F2305"/>
    <w:p w:rsidR="008F2305" w:rsidRDefault="008F2305" w:rsidP="008F23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1239"/>
        <w:gridCol w:w="1124"/>
        <w:gridCol w:w="1315"/>
        <w:gridCol w:w="1417"/>
        <w:gridCol w:w="1533"/>
        <w:gridCol w:w="1559"/>
        <w:gridCol w:w="1417"/>
        <w:gridCol w:w="1418"/>
        <w:gridCol w:w="1559"/>
        <w:gridCol w:w="1559"/>
      </w:tblGrid>
      <w:tr w:rsidR="00E22502" w:rsidTr="00F60B98">
        <w:trPr>
          <w:trHeight w:val="1011"/>
        </w:trPr>
        <w:tc>
          <w:tcPr>
            <w:tcW w:w="4842" w:type="dxa"/>
            <w:gridSpan w:val="4"/>
          </w:tcPr>
          <w:p w:rsidR="00E22502" w:rsidRPr="0079595A" w:rsidRDefault="00E22502" w:rsidP="0079595A">
            <w:pPr>
              <w:jc w:val="center"/>
              <w:rPr>
                <w:b/>
              </w:rPr>
            </w:pPr>
            <w:r w:rsidRPr="0079595A">
              <w:rPr>
                <w:b/>
              </w:rPr>
              <w:t>Identity</w:t>
            </w:r>
          </w:p>
        </w:tc>
        <w:tc>
          <w:tcPr>
            <w:tcW w:w="2950" w:type="dxa"/>
            <w:gridSpan w:val="2"/>
          </w:tcPr>
          <w:p w:rsidR="00E22502" w:rsidRPr="0079595A" w:rsidRDefault="00E22502" w:rsidP="0079595A">
            <w:pPr>
              <w:jc w:val="center"/>
              <w:rPr>
                <w:b/>
              </w:rPr>
            </w:pPr>
            <w:r w:rsidRPr="0079595A">
              <w:rPr>
                <w:b/>
              </w:rPr>
              <w:t>Qualifications</w:t>
            </w:r>
          </w:p>
        </w:tc>
        <w:tc>
          <w:tcPr>
            <w:tcW w:w="1559" w:type="dxa"/>
          </w:tcPr>
          <w:p w:rsidR="00E22502" w:rsidRPr="0079595A" w:rsidRDefault="00E22502" w:rsidP="0079595A">
            <w:pPr>
              <w:jc w:val="center"/>
              <w:rPr>
                <w:b/>
              </w:rPr>
            </w:pPr>
            <w:r w:rsidRPr="0079595A">
              <w:rPr>
                <w:b/>
              </w:rPr>
              <w:t>Children’s List</w:t>
            </w:r>
          </w:p>
          <w:p w:rsidR="00E22502" w:rsidRPr="0079595A" w:rsidRDefault="00E22502" w:rsidP="0079595A">
            <w:pPr>
              <w:jc w:val="center"/>
              <w:rPr>
                <w:b/>
              </w:rPr>
            </w:pPr>
            <w:r w:rsidRPr="0079595A">
              <w:rPr>
                <w:b/>
              </w:rPr>
              <w:t>(former List 99)</w:t>
            </w:r>
          </w:p>
        </w:tc>
        <w:tc>
          <w:tcPr>
            <w:tcW w:w="1417" w:type="dxa"/>
          </w:tcPr>
          <w:p w:rsidR="00E22502" w:rsidRPr="0079595A" w:rsidRDefault="00E22502" w:rsidP="0079595A">
            <w:pPr>
              <w:jc w:val="center"/>
              <w:rPr>
                <w:b/>
              </w:rPr>
            </w:pPr>
            <w:r w:rsidRPr="0079595A">
              <w:rPr>
                <w:b/>
              </w:rPr>
              <w:t>DBS</w:t>
            </w:r>
          </w:p>
        </w:tc>
        <w:tc>
          <w:tcPr>
            <w:tcW w:w="1418" w:type="dxa"/>
          </w:tcPr>
          <w:p w:rsidR="00E22502" w:rsidRPr="0079595A" w:rsidRDefault="00E22502" w:rsidP="0079595A">
            <w:pPr>
              <w:jc w:val="center"/>
              <w:rPr>
                <w:b/>
              </w:rPr>
            </w:pPr>
            <w:r>
              <w:rPr>
                <w:b/>
              </w:rPr>
              <w:t>Prohibition from Teaching</w:t>
            </w:r>
          </w:p>
        </w:tc>
        <w:tc>
          <w:tcPr>
            <w:tcW w:w="1559" w:type="dxa"/>
          </w:tcPr>
          <w:p w:rsidR="00E22502" w:rsidRPr="0079595A" w:rsidRDefault="00E22502" w:rsidP="0079595A">
            <w:pPr>
              <w:jc w:val="center"/>
              <w:rPr>
                <w:b/>
              </w:rPr>
            </w:pPr>
            <w:r w:rsidRPr="0079595A">
              <w:rPr>
                <w:b/>
              </w:rPr>
              <w:t xml:space="preserve">Right to Work in the </w:t>
            </w:r>
            <w:smartTag w:uri="urn:schemas-microsoft-com:office:smarttags" w:element="country-region">
              <w:smartTag w:uri="urn:schemas-microsoft-com:office:smarttags" w:element="place">
                <w:r w:rsidRPr="0079595A">
                  <w:rPr>
                    <w:b/>
                  </w:rPr>
                  <w:t>UK</w:t>
                </w:r>
              </w:smartTag>
            </w:smartTag>
          </w:p>
        </w:tc>
        <w:tc>
          <w:tcPr>
            <w:tcW w:w="1559" w:type="dxa"/>
          </w:tcPr>
          <w:p w:rsidR="00E22502" w:rsidRPr="0079595A" w:rsidRDefault="00E22502" w:rsidP="0079595A">
            <w:pPr>
              <w:jc w:val="center"/>
              <w:rPr>
                <w:b/>
              </w:rPr>
            </w:pPr>
            <w:r w:rsidRPr="0079595A">
              <w:rPr>
                <w:b/>
              </w:rPr>
              <w:t>Overseas Criminal Records Checks</w:t>
            </w:r>
          </w:p>
        </w:tc>
      </w:tr>
      <w:tr w:rsidR="00F60B98" w:rsidTr="00F60B98">
        <w:tc>
          <w:tcPr>
            <w:tcW w:w="1164" w:type="dxa"/>
          </w:tcPr>
          <w:p w:rsidR="00F60B98" w:rsidRDefault="00F60B98" w:rsidP="00F60B98">
            <w:r>
              <w:t>Name</w:t>
            </w:r>
          </w:p>
        </w:tc>
        <w:tc>
          <w:tcPr>
            <w:tcW w:w="1239" w:type="dxa"/>
          </w:tcPr>
          <w:p w:rsidR="00F60B98" w:rsidRDefault="00F60B98" w:rsidP="00F60B98">
            <w:r>
              <w:t>Address</w:t>
            </w:r>
          </w:p>
        </w:tc>
        <w:tc>
          <w:tcPr>
            <w:tcW w:w="1124" w:type="dxa"/>
          </w:tcPr>
          <w:p w:rsidR="00F60B98" w:rsidRDefault="00F60B98" w:rsidP="00F60B98">
            <w:r>
              <w:t>DOB</w:t>
            </w:r>
          </w:p>
        </w:tc>
        <w:tc>
          <w:tcPr>
            <w:tcW w:w="1315" w:type="dxa"/>
          </w:tcPr>
          <w:p w:rsidR="00F60B98" w:rsidRDefault="00F60B98" w:rsidP="00F60B98">
            <w:r>
              <w:t>Evidenced and Date</w:t>
            </w:r>
          </w:p>
        </w:tc>
        <w:tc>
          <w:tcPr>
            <w:tcW w:w="1417" w:type="dxa"/>
          </w:tcPr>
          <w:p w:rsidR="00F60B98" w:rsidRDefault="00F60B98" w:rsidP="00F60B98">
            <w:r>
              <w:t>Qualifications Required</w:t>
            </w:r>
          </w:p>
        </w:tc>
        <w:tc>
          <w:tcPr>
            <w:tcW w:w="1533" w:type="dxa"/>
          </w:tcPr>
          <w:p w:rsidR="00F60B98" w:rsidRDefault="00F60B98" w:rsidP="00F60B98">
            <w:r>
              <w:t>Qualifications Evidenced and Date</w:t>
            </w:r>
          </w:p>
        </w:tc>
        <w:tc>
          <w:tcPr>
            <w:tcW w:w="1559" w:type="dxa"/>
          </w:tcPr>
          <w:p w:rsidR="00F60B98" w:rsidRDefault="00F60B98" w:rsidP="00F60B98">
            <w:r>
              <w:t>Check Evidenced and Date</w:t>
            </w:r>
          </w:p>
        </w:tc>
        <w:tc>
          <w:tcPr>
            <w:tcW w:w="1417" w:type="dxa"/>
          </w:tcPr>
          <w:p w:rsidR="00F60B98" w:rsidRDefault="00F60B98" w:rsidP="00F60B98">
            <w:r w:rsidRPr="00382C95">
              <w:t>Check Evidenced and Date</w:t>
            </w:r>
          </w:p>
        </w:tc>
        <w:tc>
          <w:tcPr>
            <w:tcW w:w="1418" w:type="dxa"/>
          </w:tcPr>
          <w:p w:rsidR="00F60B98" w:rsidRDefault="00F60B98" w:rsidP="00F60B98">
            <w:r w:rsidRPr="00382C95">
              <w:t>Check Evidenced and Date</w:t>
            </w:r>
          </w:p>
        </w:tc>
        <w:tc>
          <w:tcPr>
            <w:tcW w:w="1559" w:type="dxa"/>
          </w:tcPr>
          <w:p w:rsidR="00F60B98" w:rsidRDefault="00F60B98" w:rsidP="00F60B98">
            <w:r w:rsidRPr="00382C95">
              <w:t>Check Evidenced and Date</w:t>
            </w:r>
          </w:p>
        </w:tc>
        <w:tc>
          <w:tcPr>
            <w:tcW w:w="1559" w:type="dxa"/>
          </w:tcPr>
          <w:p w:rsidR="00F60B98" w:rsidRDefault="00F60B98" w:rsidP="00F60B98">
            <w:r>
              <w:t>Checks Required Y/N</w:t>
            </w:r>
          </w:p>
        </w:tc>
      </w:tr>
      <w:tr w:rsidR="00F60B98" w:rsidTr="00F60B98">
        <w:tc>
          <w:tcPr>
            <w:tcW w:w="1164" w:type="dxa"/>
          </w:tcPr>
          <w:p w:rsidR="00F60B98" w:rsidRDefault="00F60B98" w:rsidP="00F60B98"/>
          <w:p w:rsidR="00F60B98" w:rsidRDefault="00F60B98" w:rsidP="00F60B98"/>
          <w:p w:rsidR="00F60B98" w:rsidRDefault="00F60B98" w:rsidP="00F60B98"/>
        </w:tc>
        <w:tc>
          <w:tcPr>
            <w:tcW w:w="1239" w:type="dxa"/>
          </w:tcPr>
          <w:p w:rsidR="00F60B98" w:rsidRDefault="00F60B98" w:rsidP="00F60B98"/>
        </w:tc>
        <w:tc>
          <w:tcPr>
            <w:tcW w:w="1124" w:type="dxa"/>
          </w:tcPr>
          <w:p w:rsidR="00F60B98" w:rsidRDefault="00F60B98" w:rsidP="00F60B98"/>
        </w:tc>
        <w:tc>
          <w:tcPr>
            <w:tcW w:w="1315" w:type="dxa"/>
          </w:tcPr>
          <w:p w:rsidR="00F60B98" w:rsidRDefault="00F60B98" w:rsidP="00F60B98"/>
        </w:tc>
        <w:tc>
          <w:tcPr>
            <w:tcW w:w="1417" w:type="dxa"/>
          </w:tcPr>
          <w:p w:rsidR="00F60B98" w:rsidRDefault="00F60B98" w:rsidP="00F60B98"/>
        </w:tc>
        <w:tc>
          <w:tcPr>
            <w:tcW w:w="1533" w:type="dxa"/>
          </w:tcPr>
          <w:p w:rsidR="00F60B98" w:rsidRDefault="00F60B98" w:rsidP="00F60B98"/>
        </w:tc>
        <w:tc>
          <w:tcPr>
            <w:tcW w:w="1559" w:type="dxa"/>
          </w:tcPr>
          <w:p w:rsidR="00F60B98" w:rsidRDefault="00F60B98" w:rsidP="00F60B98"/>
        </w:tc>
        <w:tc>
          <w:tcPr>
            <w:tcW w:w="1417" w:type="dxa"/>
          </w:tcPr>
          <w:p w:rsidR="00F60B98" w:rsidRDefault="00F60B98" w:rsidP="00F60B98"/>
        </w:tc>
        <w:tc>
          <w:tcPr>
            <w:tcW w:w="1418" w:type="dxa"/>
          </w:tcPr>
          <w:p w:rsidR="00F60B98" w:rsidRDefault="00F60B98" w:rsidP="00F60B98"/>
        </w:tc>
        <w:tc>
          <w:tcPr>
            <w:tcW w:w="1559" w:type="dxa"/>
          </w:tcPr>
          <w:p w:rsidR="00F60B98" w:rsidRDefault="00F60B98" w:rsidP="00F60B98"/>
        </w:tc>
        <w:tc>
          <w:tcPr>
            <w:tcW w:w="1559" w:type="dxa"/>
          </w:tcPr>
          <w:p w:rsidR="00F60B98" w:rsidRDefault="00F60B98" w:rsidP="00F60B98"/>
        </w:tc>
      </w:tr>
    </w:tbl>
    <w:p w:rsidR="008F2305" w:rsidRDefault="008F2305" w:rsidP="00255257"/>
    <w:sectPr w:rsidR="008F2305" w:rsidSect="00E22502">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95A" w:rsidRDefault="0079595A">
      <w:r>
        <w:separator/>
      </w:r>
    </w:p>
  </w:endnote>
  <w:endnote w:type="continuationSeparator" w:id="0">
    <w:p w:rsidR="0079595A" w:rsidRDefault="0079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yriadMM">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MMSem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215" w:rsidRDefault="00F60B98" w:rsidP="00F00215">
    <w:pPr>
      <w:pStyle w:val="Footer"/>
      <w:jc w:val="right"/>
    </w:pPr>
    <w:r>
      <w:t>September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95A" w:rsidRDefault="0079595A">
      <w:r>
        <w:separator/>
      </w:r>
    </w:p>
  </w:footnote>
  <w:footnote w:type="continuationSeparator" w:id="0">
    <w:p w:rsidR="0079595A" w:rsidRDefault="007959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E09F6"/>
    <w:multiLevelType w:val="hybridMultilevel"/>
    <w:tmpl w:val="D1C29990"/>
    <w:lvl w:ilvl="0" w:tplc="740A3A60">
      <w:start w:val="4"/>
      <w:numFmt w:val="bullet"/>
      <w:lvlText w:val=""/>
      <w:lvlJc w:val="left"/>
      <w:pPr>
        <w:tabs>
          <w:tab w:val="num" w:pos="720"/>
        </w:tabs>
        <w:ind w:left="720" w:hanging="360"/>
      </w:pPr>
      <w:rPr>
        <w:rFonts w:ascii="Symbol" w:eastAsia="Times New Roman" w:hAnsi="Symbol" w:cs="MyriadMM"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EB3774"/>
    <w:multiLevelType w:val="hybridMultilevel"/>
    <w:tmpl w:val="37F4E106"/>
    <w:lvl w:ilvl="0" w:tplc="D85E4DE8">
      <w:start w:val="1"/>
      <w:numFmt w:val="bullet"/>
      <w:lvlText w:val="-"/>
      <w:lvlJc w:val="left"/>
      <w:pPr>
        <w:tabs>
          <w:tab w:val="num" w:pos="2160"/>
        </w:tabs>
        <w:ind w:left="2160" w:hanging="72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4AF60677"/>
    <w:multiLevelType w:val="hybridMultilevel"/>
    <w:tmpl w:val="6F5C7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352C84"/>
    <w:multiLevelType w:val="hybridMultilevel"/>
    <w:tmpl w:val="2010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305"/>
    <w:rsid w:val="001F16FF"/>
    <w:rsid w:val="00255257"/>
    <w:rsid w:val="00713528"/>
    <w:rsid w:val="00765C3F"/>
    <w:rsid w:val="0079595A"/>
    <w:rsid w:val="00864B0C"/>
    <w:rsid w:val="008C03CD"/>
    <w:rsid w:val="008F2305"/>
    <w:rsid w:val="009C4E52"/>
    <w:rsid w:val="00A56363"/>
    <w:rsid w:val="00BB1BFD"/>
    <w:rsid w:val="00C275A9"/>
    <w:rsid w:val="00E22502"/>
    <w:rsid w:val="00F00215"/>
    <w:rsid w:val="00F60B98"/>
    <w:rsid w:val="00FC6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68EF274-66A3-4131-A304-629D70E0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305"/>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F2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F2305"/>
    <w:pPr>
      <w:ind w:left="1440"/>
    </w:pPr>
    <w:rPr>
      <w:sz w:val="24"/>
    </w:rPr>
  </w:style>
  <w:style w:type="character" w:styleId="CommentReference">
    <w:name w:val="annotation reference"/>
    <w:basedOn w:val="DefaultParagraphFont"/>
    <w:semiHidden/>
    <w:rsid w:val="00F00215"/>
    <w:rPr>
      <w:sz w:val="16"/>
      <w:szCs w:val="16"/>
    </w:rPr>
  </w:style>
  <w:style w:type="paragraph" w:styleId="CommentText">
    <w:name w:val="annotation text"/>
    <w:basedOn w:val="Normal"/>
    <w:semiHidden/>
    <w:rsid w:val="00F00215"/>
  </w:style>
  <w:style w:type="paragraph" w:styleId="CommentSubject">
    <w:name w:val="annotation subject"/>
    <w:basedOn w:val="CommentText"/>
    <w:next w:val="CommentText"/>
    <w:semiHidden/>
    <w:rsid w:val="00F00215"/>
    <w:rPr>
      <w:b/>
      <w:bCs/>
    </w:rPr>
  </w:style>
  <w:style w:type="paragraph" w:styleId="BalloonText">
    <w:name w:val="Balloon Text"/>
    <w:basedOn w:val="Normal"/>
    <w:semiHidden/>
    <w:rsid w:val="00F00215"/>
    <w:rPr>
      <w:rFonts w:ascii="Tahoma" w:hAnsi="Tahoma" w:cs="Tahoma"/>
      <w:sz w:val="16"/>
      <w:szCs w:val="16"/>
    </w:rPr>
  </w:style>
  <w:style w:type="paragraph" w:styleId="FootnoteText">
    <w:name w:val="footnote text"/>
    <w:basedOn w:val="Normal"/>
    <w:semiHidden/>
    <w:rsid w:val="00F00215"/>
  </w:style>
  <w:style w:type="character" w:styleId="FootnoteReference">
    <w:name w:val="footnote reference"/>
    <w:basedOn w:val="DefaultParagraphFont"/>
    <w:semiHidden/>
    <w:rsid w:val="00F00215"/>
    <w:rPr>
      <w:vertAlign w:val="superscript"/>
    </w:rPr>
  </w:style>
  <w:style w:type="paragraph" w:styleId="Header">
    <w:name w:val="header"/>
    <w:basedOn w:val="Normal"/>
    <w:rsid w:val="00F00215"/>
    <w:pPr>
      <w:tabs>
        <w:tab w:val="center" w:pos="4153"/>
        <w:tab w:val="right" w:pos="8306"/>
      </w:tabs>
    </w:pPr>
  </w:style>
  <w:style w:type="paragraph" w:styleId="Footer">
    <w:name w:val="footer"/>
    <w:basedOn w:val="Normal"/>
    <w:rsid w:val="00F00215"/>
    <w:pPr>
      <w:tabs>
        <w:tab w:val="center" w:pos="4153"/>
        <w:tab w:val="right" w:pos="8306"/>
      </w:tabs>
    </w:pPr>
  </w:style>
  <w:style w:type="character" w:styleId="Hyperlink">
    <w:name w:val="Hyperlink"/>
    <w:basedOn w:val="DefaultParagraphFont"/>
    <w:rsid w:val="00864B0C"/>
    <w:rPr>
      <w:color w:val="0000FF"/>
      <w:u w:val="single"/>
    </w:rPr>
  </w:style>
  <w:style w:type="paragraph" w:styleId="ListParagraph">
    <w:name w:val="List Paragraph"/>
    <w:basedOn w:val="Normal"/>
    <w:uiPriority w:val="34"/>
    <w:qFormat/>
    <w:rsid w:val="00E22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506</Words>
  <Characters>2735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Single Central Record of Recruitment and Vetting Checks</vt:lpstr>
    </vt:vector>
  </TitlesOfParts>
  <Company>Southampton City Council</Company>
  <LinksUpToDate>false</LinksUpToDate>
  <CharactersWithSpaces>3235</CharactersWithSpaces>
  <SharedDoc>false</SharedDoc>
  <HLinks>
    <vt:vector size="6" baseType="variant">
      <vt:variant>
        <vt:i4>7209001</vt:i4>
      </vt:variant>
      <vt:variant>
        <vt:i4>0</vt:i4>
      </vt:variant>
      <vt:variant>
        <vt:i4>0</vt:i4>
      </vt:variant>
      <vt:variant>
        <vt:i4>5</vt:i4>
      </vt:variant>
      <vt:variant>
        <vt:lpwstr>http://www.ofsted.gov.uk/schools/for-schools/safeguarding-children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Central Record of Recruitment and Vetting Checks</dc:title>
  <dc:subject/>
  <cp:keywords/>
  <dc:description/>
  <cp:revision>2</cp:revision>
  <cp:lastPrinted>2013-12-27T12:19:00Z</cp:lastPrinted>
  <dcterms:created xsi:type="dcterms:W3CDTF">2016-09-12T14:59:00Z</dcterms:created>
  <dcterms:modified xsi:type="dcterms:W3CDTF">2016-09-12T14:59:00Z</dcterms:modified>
</cp:coreProperties>
</file>